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5104" w14:textId="77777777" w:rsidR="00403599" w:rsidRDefault="00403599" w:rsidP="00403599">
      <w:pPr>
        <w:pStyle w:val="Title"/>
      </w:pPr>
      <w:r>
        <w:t>LETTER OF AGREEMENT</w:t>
      </w:r>
    </w:p>
    <w:p w14:paraId="35D4D667" w14:textId="77777777" w:rsidR="00403599" w:rsidRDefault="00403599" w:rsidP="0040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14:paraId="36366D32" w14:textId="77777777" w:rsidR="00403599" w:rsidRPr="005160A8" w:rsidRDefault="00403599" w:rsidP="0040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6"/>
        </w:rPr>
      </w:pPr>
      <w:r>
        <w:rPr>
          <w:i/>
        </w:rPr>
        <w:t xml:space="preserve">Regarding Terms, Conditions and Purposes of an Educational Grant </w:t>
      </w:r>
      <w:r>
        <w:rPr>
          <w:i/>
        </w:rPr>
        <w:br/>
      </w:r>
      <w:r w:rsidRPr="00634517">
        <w:rPr>
          <w:i/>
        </w:rPr>
        <w:t xml:space="preserve">between the </w:t>
      </w:r>
      <w:r>
        <w:rPr>
          <w:b/>
          <w:sz w:val="26"/>
        </w:rPr>
        <w:t xml:space="preserve">American Osteopathic Association (AOA) &amp; </w:t>
      </w:r>
      <w:r w:rsidRPr="00541872">
        <w:rPr>
          <w:b/>
          <w:sz w:val="26"/>
          <w:highlight w:val="yellow"/>
        </w:rPr>
        <w:t>XXX</w:t>
      </w:r>
    </w:p>
    <w:p w14:paraId="6107DA4C" w14:textId="77777777" w:rsidR="00403599" w:rsidRDefault="00403599" w:rsidP="00403599">
      <w:pPr>
        <w:rPr>
          <w:sz w:val="26"/>
        </w:rPr>
      </w:pPr>
    </w:p>
    <w:p w14:paraId="054E8C3A" w14:textId="77777777" w:rsidR="00403599" w:rsidRPr="00D03C2F" w:rsidRDefault="00403599" w:rsidP="00403599">
      <w:pPr>
        <w:tabs>
          <w:tab w:val="left" w:pos="2880"/>
        </w:tabs>
        <w:rPr>
          <w:b/>
          <w:bCs/>
          <w:sz w:val="22"/>
          <w:szCs w:val="22"/>
        </w:rPr>
      </w:pPr>
      <w:r w:rsidRPr="006A3484">
        <w:rPr>
          <w:b/>
          <w:bCs/>
          <w:sz w:val="22"/>
          <w:szCs w:val="22"/>
          <w:highlight w:val="yellow"/>
        </w:rPr>
        <w:t>Title of CME activity:</w:t>
      </w:r>
      <w:r w:rsidRPr="00D03C2F">
        <w:rPr>
          <w:b/>
          <w:bCs/>
          <w:sz w:val="22"/>
          <w:szCs w:val="22"/>
        </w:rPr>
        <w:t xml:space="preserve"> </w:t>
      </w:r>
    </w:p>
    <w:p w14:paraId="31662ECA" w14:textId="77777777" w:rsidR="00403599" w:rsidRPr="00D03C2F" w:rsidRDefault="00403599" w:rsidP="00403599">
      <w:pPr>
        <w:rPr>
          <w:rFonts w:eastAsia="Arial Unicode MS"/>
          <w:sz w:val="22"/>
          <w:szCs w:val="22"/>
        </w:rPr>
      </w:pPr>
    </w:p>
    <w:p w14:paraId="381DCB2F" w14:textId="77777777" w:rsidR="00403599" w:rsidRPr="00D03C2F" w:rsidRDefault="00403599" w:rsidP="00403599">
      <w:pPr>
        <w:rPr>
          <w:rFonts w:eastAsia="Arial Unicode MS"/>
          <w:b/>
          <w:bCs/>
          <w:sz w:val="22"/>
          <w:szCs w:val="22"/>
        </w:rPr>
      </w:pPr>
      <w:r w:rsidRPr="006A3484">
        <w:rPr>
          <w:rFonts w:eastAsia="Arial Unicode MS"/>
          <w:b/>
          <w:bCs/>
          <w:sz w:val="22"/>
          <w:szCs w:val="22"/>
          <w:highlight w:val="yellow"/>
        </w:rPr>
        <w:t>Date:</w:t>
      </w:r>
      <w:r w:rsidRPr="00D03C2F">
        <w:rPr>
          <w:rFonts w:eastAsia="Arial Unicode MS"/>
          <w:b/>
          <w:bCs/>
          <w:sz w:val="22"/>
          <w:szCs w:val="22"/>
        </w:rPr>
        <w:t xml:space="preserve">  </w:t>
      </w:r>
    </w:p>
    <w:p w14:paraId="6A088EB5" w14:textId="77777777" w:rsidR="00403599" w:rsidRPr="00D03C2F" w:rsidRDefault="00403599" w:rsidP="00403599">
      <w:pPr>
        <w:rPr>
          <w:rFonts w:eastAsia="Arial Unicode MS"/>
          <w:sz w:val="22"/>
          <w:szCs w:val="22"/>
        </w:rPr>
      </w:pPr>
    </w:p>
    <w:p w14:paraId="65579E47" w14:textId="77777777" w:rsidR="00403599" w:rsidRPr="00D03C2F" w:rsidRDefault="00403599" w:rsidP="00403599">
      <w:pPr>
        <w:rPr>
          <w:b/>
          <w:bCs/>
          <w:sz w:val="22"/>
          <w:szCs w:val="22"/>
        </w:rPr>
      </w:pPr>
      <w:r w:rsidRPr="00D03C2F">
        <w:rPr>
          <w:b/>
          <w:bCs/>
          <w:sz w:val="22"/>
          <w:szCs w:val="22"/>
        </w:rPr>
        <w:t xml:space="preserve">Commercial Supporter:  </w:t>
      </w:r>
    </w:p>
    <w:p w14:paraId="6D5FF28A" w14:textId="77777777" w:rsidR="00403599" w:rsidRPr="00D03C2F" w:rsidRDefault="00403599" w:rsidP="00403599">
      <w:pPr>
        <w:ind w:left="360"/>
        <w:rPr>
          <w:sz w:val="22"/>
          <w:szCs w:val="22"/>
        </w:rPr>
      </w:pPr>
      <w:r w:rsidRPr="00D03C2F">
        <w:rPr>
          <w:sz w:val="22"/>
          <w:szCs w:val="22"/>
        </w:rPr>
        <w:t>Mailing address:</w:t>
      </w:r>
      <w:r w:rsidRPr="00D03C2F">
        <w:rPr>
          <w:rFonts w:eastAsia="Arial Unicode MS"/>
          <w:sz w:val="22"/>
          <w:szCs w:val="22"/>
        </w:rPr>
        <w:t xml:space="preserve"> </w:t>
      </w:r>
    </w:p>
    <w:p w14:paraId="14E895CA" w14:textId="77777777" w:rsidR="00403599" w:rsidRPr="00D03C2F" w:rsidRDefault="00403599" w:rsidP="00403599">
      <w:pPr>
        <w:ind w:left="360"/>
        <w:rPr>
          <w:rFonts w:eastAsia="Arial Unicode MS"/>
          <w:sz w:val="22"/>
          <w:szCs w:val="22"/>
        </w:rPr>
      </w:pPr>
      <w:r w:rsidRPr="00D03C2F">
        <w:rPr>
          <w:sz w:val="22"/>
          <w:szCs w:val="22"/>
        </w:rPr>
        <w:t xml:space="preserve">Telephone: </w:t>
      </w:r>
    </w:p>
    <w:p w14:paraId="39C73163" w14:textId="77777777" w:rsidR="00403599" w:rsidRPr="00D03C2F" w:rsidRDefault="00403599" w:rsidP="00403599">
      <w:pPr>
        <w:ind w:left="360"/>
        <w:rPr>
          <w:sz w:val="22"/>
          <w:szCs w:val="22"/>
        </w:rPr>
      </w:pPr>
      <w:r w:rsidRPr="00D03C2F">
        <w:rPr>
          <w:sz w:val="22"/>
          <w:szCs w:val="22"/>
        </w:rPr>
        <w:t xml:space="preserve">Contact person: </w:t>
      </w:r>
    </w:p>
    <w:p w14:paraId="29BE75FD" w14:textId="77777777" w:rsidR="00403599" w:rsidRPr="00D03C2F" w:rsidRDefault="00403599" w:rsidP="00403599">
      <w:pPr>
        <w:ind w:left="360"/>
        <w:rPr>
          <w:rFonts w:eastAsia="Arial Unicode MS"/>
          <w:sz w:val="22"/>
          <w:szCs w:val="22"/>
        </w:rPr>
      </w:pPr>
      <w:r w:rsidRPr="00D03C2F">
        <w:rPr>
          <w:sz w:val="22"/>
          <w:szCs w:val="22"/>
        </w:rPr>
        <w:t>Contact email:</w:t>
      </w:r>
    </w:p>
    <w:p w14:paraId="0AC12848" w14:textId="77777777" w:rsidR="00403599" w:rsidRPr="000B3505" w:rsidRDefault="00403599" w:rsidP="00403599">
      <w:pPr>
        <w:tabs>
          <w:tab w:val="left" w:pos="2880"/>
        </w:tabs>
        <w:rPr>
          <w:sz w:val="22"/>
          <w:szCs w:val="22"/>
        </w:rPr>
      </w:pPr>
    </w:p>
    <w:p w14:paraId="2F32FC91" w14:textId="77777777" w:rsidR="00403599" w:rsidRPr="000B3505" w:rsidRDefault="00403599" w:rsidP="00403599">
      <w:pPr>
        <w:ind w:right="-180"/>
        <w:rPr>
          <w:sz w:val="22"/>
          <w:szCs w:val="22"/>
        </w:rPr>
      </w:pPr>
      <w:r w:rsidRPr="000B3505">
        <w:rPr>
          <w:sz w:val="22"/>
          <w:szCs w:val="22"/>
        </w:rPr>
        <w:t>The above company is requested to provide support for the named educational activities by means of the following education grants:</w:t>
      </w:r>
    </w:p>
    <w:p w14:paraId="5210192C" w14:textId="77777777" w:rsidR="00403599" w:rsidRDefault="00403599" w:rsidP="00403599">
      <w:pPr>
        <w:rPr>
          <w:sz w:val="26"/>
        </w:rPr>
      </w:pPr>
    </w:p>
    <w:p w14:paraId="4EA2864C" w14:textId="77777777" w:rsidR="00403599" w:rsidRPr="0017031F" w:rsidRDefault="00403599" w:rsidP="00403599">
      <w:pPr>
        <w:pBdr>
          <w:top w:val="single" w:sz="4" w:space="1" w:color="auto"/>
          <w:left w:val="single" w:sz="4" w:space="4" w:color="auto"/>
          <w:bottom w:val="single" w:sz="4" w:space="1" w:color="auto"/>
          <w:right w:val="single" w:sz="4" w:space="4" w:color="auto"/>
        </w:pBdr>
        <w:rPr>
          <w:rFonts w:ascii="Arial" w:hAnsi="Arial" w:cs="Arial"/>
        </w:rPr>
      </w:pPr>
      <w:r>
        <w:rPr>
          <w:b/>
          <w:sz w:val="26"/>
        </w:rPr>
        <w:t xml:space="preserve">Educational grant for support of the CME activity in the amount of </w:t>
      </w:r>
      <w:r w:rsidRPr="00B42FCD">
        <w:rPr>
          <w:b/>
          <w:sz w:val="26"/>
          <w:highlight w:val="yellow"/>
        </w:rPr>
        <w:t>XXX</w:t>
      </w:r>
      <w:r>
        <w:rPr>
          <w:b/>
          <w:sz w:val="26"/>
        </w:rPr>
        <w:t xml:space="preserve"> in support of </w:t>
      </w:r>
      <w:r w:rsidRPr="00B42FCD">
        <w:rPr>
          <w:b/>
          <w:sz w:val="26"/>
          <w:highlight w:val="yellow"/>
        </w:rPr>
        <w:t>XXX</w:t>
      </w:r>
    </w:p>
    <w:p w14:paraId="4C06FF3B" w14:textId="77777777" w:rsidR="00403599" w:rsidRDefault="00403599" w:rsidP="00403599">
      <w:pPr>
        <w:rPr>
          <w:sz w:val="26"/>
        </w:rPr>
      </w:pPr>
    </w:p>
    <w:p w14:paraId="437A4A4F" w14:textId="77777777" w:rsidR="00403599" w:rsidRPr="00D03C2F" w:rsidRDefault="00403599" w:rsidP="00403599">
      <w:pPr>
        <w:rPr>
          <w:b/>
          <w:iCs/>
          <w:sz w:val="26"/>
        </w:rPr>
      </w:pPr>
      <w:r w:rsidRPr="00D03C2F">
        <w:rPr>
          <w:b/>
          <w:iCs/>
          <w:sz w:val="26"/>
        </w:rPr>
        <w:t>Conditions</w:t>
      </w:r>
    </w:p>
    <w:p w14:paraId="4581844D" w14:textId="77777777" w:rsidR="00403599" w:rsidRPr="00D03C2F" w:rsidRDefault="00403599" w:rsidP="00403599">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D03C2F">
        <w:rPr>
          <w:b/>
          <w:iCs/>
        </w:rPr>
        <w:t xml:space="preserve">Statement of Purpose: </w:t>
      </w:r>
      <w:r w:rsidRPr="00D03C2F">
        <w:rPr>
          <w:iCs/>
        </w:rPr>
        <w:t>Program is for scientific and educational purposes only and will not promote the company's products, directly or indirectly.</w:t>
      </w:r>
    </w:p>
    <w:p w14:paraId="14BD6261" w14:textId="77777777" w:rsidR="00403599" w:rsidRPr="00D03C2F" w:rsidRDefault="00403599" w:rsidP="0040359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iCs/>
        </w:rPr>
      </w:pPr>
    </w:p>
    <w:p w14:paraId="4073E600" w14:textId="4B704715" w:rsidR="00403599" w:rsidRPr="00D03C2F" w:rsidRDefault="00403599" w:rsidP="00403599">
      <w:pPr>
        <w:numPr>
          <w:ilvl w:val="0"/>
          <w:numId w:val="13"/>
        </w:numPr>
        <w:rPr>
          <w:iCs/>
        </w:rPr>
      </w:pPr>
      <w:r w:rsidRPr="00D03C2F">
        <w:rPr>
          <w:b/>
          <w:iCs/>
        </w:rPr>
        <w:t xml:space="preserve">Control of Content &amp; Selection of Presenters &amp; Moderators: </w:t>
      </w:r>
      <w:r w:rsidRPr="00B42FCD">
        <w:rPr>
          <w:b/>
          <w:iCs/>
        </w:rPr>
        <w:t>AOA</w:t>
      </w:r>
      <w:r w:rsidRPr="00D03C2F">
        <w:rPr>
          <w:b/>
          <w:iCs/>
        </w:rPr>
        <w:t xml:space="preserve"> is </w:t>
      </w:r>
      <w:r w:rsidRPr="00D03C2F">
        <w:rPr>
          <w:iCs/>
        </w:rPr>
        <w:t>responsible for</w:t>
      </w:r>
      <w:r w:rsidR="009503BC">
        <w:rPr>
          <w:iCs/>
        </w:rPr>
        <w:t xml:space="preserve"> the</w:t>
      </w:r>
      <w:r w:rsidRPr="00D03C2F">
        <w:rPr>
          <w:iCs/>
        </w:rPr>
        <w:t xml:space="preserve"> control of content and selection of presenters and moderators.  The Company agrees not to direct the content of the program.  </w:t>
      </w:r>
    </w:p>
    <w:p w14:paraId="394B61C5" w14:textId="77777777" w:rsidR="00403599" w:rsidRPr="00D03C2F" w:rsidRDefault="00403599" w:rsidP="00403599">
      <w:pPr>
        <w:ind w:left="360"/>
        <w:rPr>
          <w:iCs/>
        </w:rPr>
      </w:pPr>
    </w:p>
    <w:p w14:paraId="1BF29F41" w14:textId="77777777" w:rsidR="00403599" w:rsidRPr="00D03C2F" w:rsidRDefault="00403599" w:rsidP="00403599">
      <w:pPr>
        <w:numPr>
          <w:ilvl w:val="0"/>
          <w:numId w:val="13"/>
        </w:numPr>
        <w:rPr>
          <w:iCs/>
        </w:rPr>
      </w:pPr>
      <w:r w:rsidRPr="00D03C2F">
        <w:rPr>
          <w:b/>
          <w:bCs/>
          <w:iCs/>
        </w:rPr>
        <w:t>Disclosure of Financial Relationships:</w:t>
      </w:r>
      <w:r w:rsidRPr="00D03C2F">
        <w:rPr>
          <w:iCs/>
        </w:rPr>
        <w:t xml:space="preserve"> </w:t>
      </w:r>
      <w:r>
        <w:rPr>
          <w:iCs/>
        </w:rPr>
        <w:t>American Osteopathic Association</w:t>
      </w:r>
      <w:r w:rsidRPr="00D03C2F">
        <w:rPr>
          <w:iCs/>
        </w:rPr>
        <w:t xml:space="preserve"> will ensure meaningful disclosure to the audience, at the time of the program, of (a) Company funding and (b) any significant relationship between the </w:t>
      </w:r>
      <w:r>
        <w:rPr>
          <w:iCs/>
        </w:rPr>
        <w:t>American Osteopathic Association</w:t>
      </w:r>
      <w:r w:rsidRPr="00D03C2F">
        <w:rPr>
          <w:iCs/>
        </w:rPr>
        <w:t xml:space="preserve"> and the Company (e.g., grant recipient) or between individual speakers or moderators and the Company.</w:t>
      </w:r>
      <w:r w:rsidRPr="00D03C2F">
        <w:rPr>
          <w:iCs/>
        </w:rPr>
        <w:br/>
      </w:r>
    </w:p>
    <w:p w14:paraId="45D44E8A" w14:textId="6B606C79" w:rsidR="00403599" w:rsidRPr="00D03C2F" w:rsidRDefault="00403599" w:rsidP="00403599">
      <w:pPr>
        <w:numPr>
          <w:ilvl w:val="0"/>
          <w:numId w:val="14"/>
        </w:numPr>
        <w:rPr>
          <w:iCs/>
        </w:rPr>
      </w:pPr>
      <w:r w:rsidRPr="00D03C2F">
        <w:rPr>
          <w:b/>
          <w:iCs/>
        </w:rPr>
        <w:t xml:space="preserve">Involvement in Content: </w:t>
      </w:r>
      <w:r w:rsidRPr="00D03C2F">
        <w:rPr>
          <w:iCs/>
        </w:rPr>
        <w:t>there will be no "scripting</w:t>
      </w:r>
      <w:r w:rsidR="009503BC">
        <w:rPr>
          <w:iCs/>
        </w:rPr>
        <w:t>,</w:t>
      </w:r>
      <w:r w:rsidRPr="00D03C2F">
        <w:rPr>
          <w:iCs/>
        </w:rPr>
        <w:t>" emphasis, or direction of content by the Company or its agents.</w:t>
      </w:r>
    </w:p>
    <w:p w14:paraId="7CD5DA5F" w14:textId="77777777" w:rsidR="00403599" w:rsidRPr="00D03C2F" w:rsidRDefault="00403599" w:rsidP="00403599">
      <w:pPr>
        <w:numPr>
          <w:ilvl w:val="12"/>
          <w:numId w:val="0"/>
        </w:numPr>
        <w:ind w:left="360" w:hanging="360"/>
        <w:jc w:val="both"/>
        <w:rPr>
          <w:iCs/>
        </w:rPr>
      </w:pPr>
    </w:p>
    <w:p w14:paraId="33277156" w14:textId="77777777" w:rsidR="00403599" w:rsidRPr="00D03C2F" w:rsidRDefault="00403599" w:rsidP="00403599">
      <w:pPr>
        <w:numPr>
          <w:ilvl w:val="0"/>
          <w:numId w:val="15"/>
        </w:numPr>
        <w:jc w:val="both"/>
        <w:rPr>
          <w:iCs/>
        </w:rPr>
      </w:pPr>
      <w:r w:rsidRPr="00D03C2F">
        <w:rPr>
          <w:b/>
          <w:iCs/>
        </w:rPr>
        <w:t xml:space="preserve">Ancillary Promotional Activities: </w:t>
      </w:r>
      <w:r w:rsidRPr="00D03C2F">
        <w:rPr>
          <w:iCs/>
        </w:rPr>
        <w:t xml:space="preserve">no promotional activities will be permitted in the same room or obligate path as the educational activity.  No product advertisements will be permitted in the program room. Faculty are instructed to ensure that employees of commercial interests present during labs maintain their role as technicians. </w:t>
      </w:r>
      <w:r>
        <w:rPr>
          <w:iCs/>
        </w:rPr>
        <w:t>AOA</w:t>
      </w:r>
      <w:r w:rsidRPr="00D03C2F">
        <w:rPr>
          <w:iCs/>
        </w:rPr>
        <w:t xml:space="preserve"> instructs the commercial interest loaning the equipment that the labs are educational, </w:t>
      </w:r>
      <w:r w:rsidRPr="00D03C2F">
        <w:rPr>
          <w:iCs/>
        </w:rPr>
        <w:lastRenderedPageBreak/>
        <w:t xml:space="preserve">and not promotional, and therefore their employees must abide by </w:t>
      </w:r>
      <w:r>
        <w:rPr>
          <w:iCs/>
        </w:rPr>
        <w:t>AOA’s</w:t>
      </w:r>
      <w:r w:rsidRPr="00D03C2F">
        <w:rPr>
          <w:iCs/>
        </w:rPr>
        <w:t xml:space="preserve"> and ACCME’s expectations. Details regarding these expectations are outlined herein.</w:t>
      </w:r>
    </w:p>
    <w:p w14:paraId="0B33CFC8" w14:textId="77777777" w:rsidR="00403599" w:rsidRPr="00D03C2F" w:rsidRDefault="00403599" w:rsidP="00403599">
      <w:pPr>
        <w:numPr>
          <w:ilvl w:val="12"/>
          <w:numId w:val="0"/>
        </w:numPr>
        <w:ind w:left="360" w:hanging="360"/>
        <w:jc w:val="both"/>
        <w:rPr>
          <w:iCs/>
        </w:rPr>
      </w:pPr>
    </w:p>
    <w:p w14:paraId="5DB6CF78" w14:textId="77777777" w:rsidR="00403599" w:rsidRPr="00D03C2F" w:rsidRDefault="00403599" w:rsidP="00403599">
      <w:pPr>
        <w:numPr>
          <w:ilvl w:val="0"/>
          <w:numId w:val="16"/>
        </w:numPr>
        <w:jc w:val="both"/>
        <w:rPr>
          <w:iCs/>
        </w:rPr>
      </w:pPr>
      <w:r w:rsidRPr="00D03C2F">
        <w:rPr>
          <w:b/>
          <w:iCs/>
        </w:rPr>
        <w:t xml:space="preserve">Objectivity &amp; Balance: </w:t>
      </w:r>
      <w:r>
        <w:rPr>
          <w:b/>
          <w:iCs/>
        </w:rPr>
        <w:t>AOA</w:t>
      </w:r>
      <w:r w:rsidRPr="00D03C2F">
        <w:rPr>
          <w:b/>
          <w:iCs/>
        </w:rPr>
        <w:t xml:space="preserve"> </w:t>
      </w:r>
      <w:r w:rsidRPr="00D03C2F">
        <w:rPr>
          <w:iCs/>
        </w:rPr>
        <w:t>will make every effort to ensure that data regarding the</w:t>
      </w:r>
      <w:r w:rsidRPr="00D03C2F">
        <w:rPr>
          <w:b/>
          <w:iCs/>
        </w:rPr>
        <w:t xml:space="preserve"> </w:t>
      </w:r>
      <w:r w:rsidRPr="00D03C2F">
        <w:rPr>
          <w:iCs/>
        </w:rPr>
        <w:t>company's products (or competing products) are objectively selected and presented, with favorable and unfavorable information and balanced discussion of prevailing information on the product(s) and/or alternative treatments.</w:t>
      </w:r>
    </w:p>
    <w:p w14:paraId="4942280D" w14:textId="77777777" w:rsidR="00403599" w:rsidRPr="00D03C2F" w:rsidRDefault="00403599" w:rsidP="00403599">
      <w:pPr>
        <w:numPr>
          <w:ilvl w:val="12"/>
          <w:numId w:val="0"/>
        </w:numPr>
        <w:ind w:left="360" w:hanging="360"/>
        <w:jc w:val="both"/>
        <w:rPr>
          <w:b/>
          <w:iCs/>
        </w:rPr>
      </w:pPr>
    </w:p>
    <w:p w14:paraId="0A07656D" w14:textId="77777777" w:rsidR="00403599" w:rsidRPr="00D03C2F" w:rsidRDefault="00403599" w:rsidP="00403599">
      <w:pPr>
        <w:numPr>
          <w:ilvl w:val="0"/>
          <w:numId w:val="17"/>
        </w:numPr>
        <w:jc w:val="both"/>
        <w:rPr>
          <w:iCs/>
        </w:rPr>
      </w:pPr>
      <w:r w:rsidRPr="00D03C2F">
        <w:rPr>
          <w:b/>
          <w:iCs/>
        </w:rPr>
        <w:t xml:space="preserve">Limitations on Data: </w:t>
      </w:r>
      <w:r>
        <w:rPr>
          <w:b/>
          <w:iCs/>
        </w:rPr>
        <w:t>AOA</w:t>
      </w:r>
      <w:r w:rsidRPr="00D03C2F">
        <w:rPr>
          <w:b/>
          <w:iCs/>
        </w:rPr>
        <w:t xml:space="preserve"> </w:t>
      </w:r>
      <w:r w:rsidRPr="00D03C2F">
        <w:rPr>
          <w:iCs/>
        </w:rPr>
        <w:t>will ensure, to the extent possible, meaningful disclosure of limitations on data, e.g., ongoing research, interim analyses, preliminary data, or unsupported opinion.</w:t>
      </w:r>
    </w:p>
    <w:p w14:paraId="58CAACE3" w14:textId="77777777" w:rsidR="00403599" w:rsidRPr="00D03C2F" w:rsidRDefault="00403599" w:rsidP="00403599">
      <w:pPr>
        <w:numPr>
          <w:ilvl w:val="12"/>
          <w:numId w:val="0"/>
        </w:numPr>
        <w:ind w:left="360" w:hanging="360"/>
        <w:jc w:val="both"/>
        <w:rPr>
          <w:iCs/>
        </w:rPr>
      </w:pPr>
    </w:p>
    <w:p w14:paraId="72575355" w14:textId="77777777" w:rsidR="00403599" w:rsidRPr="00D03C2F" w:rsidRDefault="00403599" w:rsidP="00403599">
      <w:pPr>
        <w:numPr>
          <w:ilvl w:val="0"/>
          <w:numId w:val="18"/>
        </w:numPr>
        <w:jc w:val="both"/>
        <w:rPr>
          <w:iCs/>
        </w:rPr>
      </w:pPr>
      <w:r w:rsidRPr="00D03C2F">
        <w:rPr>
          <w:b/>
          <w:iCs/>
        </w:rPr>
        <w:t xml:space="preserve">Discussion of Unapproved Uses: </w:t>
      </w:r>
      <w:r>
        <w:rPr>
          <w:bCs/>
          <w:iCs/>
        </w:rPr>
        <w:t>Provider</w:t>
      </w:r>
      <w:r w:rsidRPr="00D03C2F">
        <w:rPr>
          <w:b/>
          <w:iCs/>
        </w:rPr>
        <w:t xml:space="preserve"> </w:t>
      </w:r>
      <w:r w:rsidRPr="00D03C2F">
        <w:rPr>
          <w:iCs/>
        </w:rPr>
        <w:t>will require that presenters disclose when a product is</w:t>
      </w:r>
      <w:r w:rsidRPr="00D03C2F">
        <w:rPr>
          <w:b/>
          <w:iCs/>
        </w:rPr>
        <w:t xml:space="preserve"> </w:t>
      </w:r>
      <w:r w:rsidRPr="00D03C2F">
        <w:rPr>
          <w:iCs/>
        </w:rPr>
        <w:t>not approved in the United States for the use under discussion.</w:t>
      </w:r>
    </w:p>
    <w:p w14:paraId="1B24E00A" w14:textId="77777777" w:rsidR="00403599" w:rsidRPr="00D03C2F" w:rsidRDefault="00403599" w:rsidP="00403599">
      <w:pPr>
        <w:numPr>
          <w:ilvl w:val="12"/>
          <w:numId w:val="0"/>
        </w:numPr>
        <w:ind w:left="360" w:hanging="360"/>
        <w:jc w:val="both"/>
        <w:rPr>
          <w:iCs/>
        </w:rPr>
      </w:pPr>
    </w:p>
    <w:p w14:paraId="70B3925B" w14:textId="77777777" w:rsidR="00403599" w:rsidRDefault="00403599" w:rsidP="00403599">
      <w:pPr>
        <w:numPr>
          <w:ilvl w:val="0"/>
          <w:numId w:val="19"/>
        </w:numPr>
        <w:jc w:val="both"/>
        <w:rPr>
          <w:iCs/>
        </w:rPr>
      </w:pPr>
      <w:r w:rsidRPr="00D03C2F">
        <w:rPr>
          <w:b/>
          <w:iCs/>
        </w:rPr>
        <w:t>Opportunities for Debate:</w:t>
      </w:r>
      <w:r w:rsidRPr="00D03C2F">
        <w:rPr>
          <w:iCs/>
        </w:rPr>
        <w:t xml:space="preserve">  </w:t>
      </w:r>
      <w:r>
        <w:rPr>
          <w:iCs/>
        </w:rPr>
        <w:t>Provider</w:t>
      </w:r>
      <w:r w:rsidRPr="00D03C2F">
        <w:rPr>
          <w:b/>
          <w:bCs/>
          <w:iCs/>
        </w:rPr>
        <w:t xml:space="preserve"> </w:t>
      </w:r>
      <w:r w:rsidRPr="00D03C2F">
        <w:rPr>
          <w:iCs/>
        </w:rPr>
        <w:t>will ensure meaningful opportunities for questioning or scientific debate.</w:t>
      </w:r>
    </w:p>
    <w:p w14:paraId="484B7424" w14:textId="77777777" w:rsidR="00403599" w:rsidRPr="00403599" w:rsidRDefault="00403599" w:rsidP="00403599">
      <w:pPr>
        <w:ind w:left="360"/>
        <w:jc w:val="both"/>
        <w:rPr>
          <w:iCs/>
        </w:rPr>
      </w:pPr>
      <w:r>
        <w:rPr>
          <w:b/>
          <w:iCs/>
        </w:rPr>
        <w:t xml:space="preserve"> </w:t>
      </w:r>
    </w:p>
    <w:p w14:paraId="5E9EAC36" w14:textId="50FD7DC0" w:rsidR="00403599" w:rsidRPr="00D03C2F" w:rsidRDefault="00403599" w:rsidP="00403599">
      <w:pPr>
        <w:numPr>
          <w:ilvl w:val="0"/>
          <w:numId w:val="19"/>
        </w:numPr>
        <w:jc w:val="both"/>
        <w:rPr>
          <w:iCs/>
        </w:rPr>
      </w:pPr>
      <w:r>
        <w:rPr>
          <w:b/>
          <w:iCs/>
        </w:rPr>
        <w:t>Information of Lea</w:t>
      </w:r>
      <w:r w:rsidR="009503BC">
        <w:rPr>
          <w:b/>
          <w:iCs/>
        </w:rPr>
        <w:t>r</w:t>
      </w:r>
      <w:r>
        <w:rPr>
          <w:b/>
          <w:iCs/>
        </w:rPr>
        <w:t xml:space="preserve">ners: </w:t>
      </w:r>
      <w:r>
        <w:rPr>
          <w:bCs/>
          <w:iCs/>
        </w:rPr>
        <w:t xml:space="preserve">The AOA will not share names and/or contact information of learners for this activity.  </w:t>
      </w:r>
      <w:r>
        <w:rPr>
          <w:iCs/>
        </w:rPr>
        <w:t xml:space="preserve">  </w:t>
      </w:r>
    </w:p>
    <w:p w14:paraId="3402AC23" w14:textId="77777777" w:rsidR="00403599" w:rsidRPr="00D03C2F" w:rsidRDefault="00403599" w:rsidP="00403599">
      <w:pPr>
        <w:numPr>
          <w:ilvl w:val="12"/>
          <w:numId w:val="0"/>
        </w:numPr>
        <w:ind w:left="360" w:hanging="360"/>
        <w:jc w:val="both"/>
        <w:rPr>
          <w:iCs/>
        </w:rPr>
      </w:pPr>
    </w:p>
    <w:p w14:paraId="659296F3" w14:textId="77777777" w:rsidR="00403599" w:rsidRPr="00D03C2F" w:rsidRDefault="00403599" w:rsidP="00403599">
      <w:pPr>
        <w:numPr>
          <w:ilvl w:val="0"/>
          <w:numId w:val="20"/>
        </w:numPr>
        <w:jc w:val="both"/>
        <w:rPr>
          <w:iCs/>
        </w:rPr>
      </w:pPr>
      <w:r w:rsidRPr="00D03C2F">
        <w:rPr>
          <w:b/>
          <w:iCs/>
        </w:rPr>
        <w:t>Independence of Sponsor in the use of Contributed Funds:</w:t>
      </w:r>
    </w:p>
    <w:p w14:paraId="43B5D91F" w14:textId="77777777" w:rsidR="00403599" w:rsidRPr="00D03C2F" w:rsidRDefault="00403599" w:rsidP="00403599">
      <w:pPr>
        <w:jc w:val="both"/>
        <w:rPr>
          <w:iCs/>
        </w:rPr>
      </w:pPr>
    </w:p>
    <w:p w14:paraId="325742DE" w14:textId="0EF2E329" w:rsidR="00403599" w:rsidRPr="00D03C2F" w:rsidRDefault="00403599" w:rsidP="00403599">
      <w:pPr>
        <w:numPr>
          <w:ilvl w:val="0"/>
          <w:numId w:val="21"/>
        </w:numPr>
        <w:rPr>
          <w:iCs/>
        </w:rPr>
      </w:pPr>
      <w:r w:rsidRPr="00D03C2F">
        <w:rPr>
          <w:iCs/>
        </w:rPr>
        <w:t>Funds should be in the form of an educational grant</w:t>
      </w:r>
      <w:r w:rsidR="0022642B">
        <w:rPr>
          <w:iCs/>
        </w:rPr>
        <w:t>.</w:t>
      </w:r>
    </w:p>
    <w:p w14:paraId="58AD18DC" w14:textId="77777777" w:rsidR="00403599" w:rsidRPr="00D03C2F" w:rsidRDefault="00403599" w:rsidP="00403599">
      <w:pPr>
        <w:numPr>
          <w:ilvl w:val="12"/>
          <w:numId w:val="0"/>
        </w:numPr>
        <w:ind w:left="360" w:hanging="360"/>
        <w:rPr>
          <w:iCs/>
        </w:rPr>
      </w:pPr>
    </w:p>
    <w:p w14:paraId="039FA470" w14:textId="77777777" w:rsidR="00403599" w:rsidRPr="00D03C2F" w:rsidRDefault="00403599" w:rsidP="00403599">
      <w:pPr>
        <w:numPr>
          <w:ilvl w:val="0"/>
          <w:numId w:val="21"/>
        </w:numPr>
        <w:rPr>
          <w:iCs/>
        </w:rPr>
      </w:pPr>
      <w:r w:rsidRPr="00D03C2F">
        <w:rPr>
          <w:iCs/>
        </w:rPr>
        <w:t>All other support associated with this activity (e.g., distributing brochures, preparing slides, etc.) must be given with the full</w:t>
      </w:r>
      <w:r w:rsidRPr="00D03C2F">
        <w:rPr>
          <w:b/>
          <w:iCs/>
        </w:rPr>
        <w:t xml:space="preserve"> </w:t>
      </w:r>
      <w:r w:rsidRPr="00D03C2F">
        <w:rPr>
          <w:iCs/>
        </w:rPr>
        <w:t xml:space="preserve">knowledge and approval of the </w:t>
      </w:r>
      <w:r>
        <w:rPr>
          <w:iCs/>
        </w:rPr>
        <w:t>American Osteopathic Association</w:t>
      </w:r>
      <w:r w:rsidRPr="00D03C2F">
        <w:rPr>
          <w:iCs/>
        </w:rPr>
        <w:t>.</w:t>
      </w:r>
    </w:p>
    <w:p w14:paraId="1E742179" w14:textId="77777777" w:rsidR="00403599" w:rsidRPr="00D03C2F" w:rsidRDefault="00403599" w:rsidP="00403599">
      <w:pPr>
        <w:numPr>
          <w:ilvl w:val="12"/>
          <w:numId w:val="0"/>
        </w:numPr>
        <w:ind w:left="360" w:hanging="360"/>
        <w:rPr>
          <w:iCs/>
        </w:rPr>
      </w:pPr>
    </w:p>
    <w:p w14:paraId="6834EF0E" w14:textId="77777777" w:rsidR="00403599" w:rsidRPr="00D03C2F" w:rsidRDefault="00403599" w:rsidP="00403599">
      <w:pPr>
        <w:numPr>
          <w:ilvl w:val="0"/>
          <w:numId w:val="21"/>
        </w:numPr>
        <w:rPr>
          <w:iCs/>
        </w:rPr>
      </w:pPr>
      <w:r w:rsidRPr="00D03C2F">
        <w:rPr>
          <w:iCs/>
        </w:rPr>
        <w:t>No other funds from the commercial company will be paid to the program director, faculty, or others involved with the activity (additional honoraria, extra social events, etc.)-</w:t>
      </w:r>
    </w:p>
    <w:p w14:paraId="51C3CC98" w14:textId="77777777" w:rsidR="00403599" w:rsidRPr="00D03C2F" w:rsidRDefault="00403599" w:rsidP="00403599">
      <w:pPr>
        <w:rPr>
          <w:iCs/>
        </w:rPr>
      </w:pPr>
    </w:p>
    <w:p w14:paraId="5F8CBB42" w14:textId="77777777" w:rsidR="00403599" w:rsidRPr="00D03C2F" w:rsidRDefault="00403599" w:rsidP="00403599">
      <w:pPr>
        <w:numPr>
          <w:ilvl w:val="0"/>
          <w:numId w:val="21"/>
        </w:numPr>
        <w:rPr>
          <w:iCs/>
        </w:rPr>
      </w:pPr>
      <w:r w:rsidRPr="00D03C2F">
        <w:rPr>
          <w:iCs/>
        </w:rPr>
        <w:t>Budget:  The educational grant will be used to off-set meeting expenses.</w:t>
      </w:r>
    </w:p>
    <w:p w14:paraId="34F8BD3A" w14:textId="77777777" w:rsidR="00403599" w:rsidRPr="00D03C2F" w:rsidRDefault="00403599" w:rsidP="00403599">
      <w:pPr>
        <w:rPr>
          <w:iCs/>
        </w:rPr>
      </w:pPr>
    </w:p>
    <w:p w14:paraId="45802346" w14:textId="77777777" w:rsidR="00403599" w:rsidRPr="00D03C2F" w:rsidRDefault="00403599" w:rsidP="00403599">
      <w:pPr>
        <w:jc w:val="both"/>
        <w:rPr>
          <w:iCs/>
        </w:rPr>
      </w:pPr>
      <w:r w:rsidRPr="00D03C2F">
        <w:rPr>
          <w:iCs/>
        </w:rPr>
        <w:t>The Commercial Supporter agrees to abide by all requirements of the ACCME Standards of Integrity and Independence in Continuing Education.</w:t>
      </w:r>
    </w:p>
    <w:p w14:paraId="5FD62006" w14:textId="77777777" w:rsidR="00403599" w:rsidRPr="00D03C2F" w:rsidRDefault="00403599" w:rsidP="00403599">
      <w:pPr>
        <w:jc w:val="both"/>
      </w:pPr>
    </w:p>
    <w:p w14:paraId="34978017" w14:textId="77777777" w:rsidR="00403599" w:rsidRPr="00D03C2F" w:rsidRDefault="00403599" w:rsidP="00403599">
      <w:pPr>
        <w:jc w:val="both"/>
      </w:pPr>
      <w:r w:rsidRPr="00D03C2F">
        <w:t xml:space="preserve">The Accredited </w:t>
      </w:r>
      <w:r>
        <w:t>provider</w:t>
      </w:r>
      <w:r w:rsidRPr="00D03C2F">
        <w:t xml:space="preserve"> agrees to: 1) abide by the ACCME Standards of Integrity and Independence in Continuing Education 2) acknowledge educational support from the commercial company in program brochures, syllabi and other program materials, and 3) upon request, furnish the commercial supporter a report concerning the expenditure of the funds provided.</w:t>
      </w:r>
    </w:p>
    <w:p w14:paraId="3319BA23" w14:textId="77777777" w:rsidR="00403599" w:rsidRPr="00D03C2F" w:rsidRDefault="00403599" w:rsidP="00403599">
      <w:pPr>
        <w:tabs>
          <w:tab w:val="left" w:pos="8928"/>
        </w:tabs>
        <w:ind w:right="-144"/>
        <w:rPr>
          <w:b/>
          <w:bCs/>
          <w:i/>
        </w:rPr>
      </w:pPr>
    </w:p>
    <w:p w14:paraId="7D06AB00" w14:textId="77777777" w:rsidR="00403599" w:rsidRDefault="00403599" w:rsidP="00403599">
      <w:pPr>
        <w:tabs>
          <w:tab w:val="left" w:pos="8928"/>
        </w:tabs>
        <w:ind w:right="-144"/>
        <w:rPr>
          <w:b/>
          <w:bCs/>
          <w:i/>
          <w:sz w:val="22"/>
          <w:szCs w:val="22"/>
        </w:rPr>
      </w:pPr>
    </w:p>
    <w:p w14:paraId="03DB1A7C" w14:textId="77777777" w:rsidR="00403599" w:rsidRDefault="00403599" w:rsidP="00403599">
      <w:pPr>
        <w:tabs>
          <w:tab w:val="left" w:pos="8928"/>
        </w:tabs>
        <w:ind w:right="-144"/>
        <w:rPr>
          <w:b/>
          <w:bCs/>
          <w:i/>
          <w:sz w:val="22"/>
          <w:szCs w:val="22"/>
        </w:rPr>
      </w:pPr>
    </w:p>
    <w:p w14:paraId="0793C7B7" w14:textId="77777777" w:rsidR="00403599" w:rsidRPr="00D03C2F" w:rsidRDefault="00403599" w:rsidP="00403599">
      <w:pPr>
        <w:tabs>
          <w:tab w:val="left" w:pos="8928"/>
        </w:tabs>
        <w:ind w:right="-144"/>
        <w:rPr>
          <w:b/>
          <w:bCs/>
          <w:sz w:val="22"/>
          <w:szCs w:val="22"/>
        </w:rPr>
      </w:pPr>
      <w:r w:rsidRPr="00D03C2F">
        <w:rPr>
          <w:b/>
          <w:bCs/>
          <w:i/>
          <w:sz w:val="22"/>
          <w:szCs w:val="22"/>
        </w:rPr>
        <w:lastRenderedPageBreak/>
        <w:t>AGREED</w:t>
      </w:r>
    </w:p>
    <w:p w14:paraId="4B616197" w14:textId="77777777" w:rsidR="00403599" w:rsidRDefault="00403599" w:rsidP="00403599">
      <w:pPr>
        <w:tabs>
          <w:tab w:val="left" w:leader="underscore" w:pos="7290"/>
          <w:tab w:val="left" w:leader="underscore" w:pos="9450"/>
        </w:tabs>
        <w:spacing w:line="480" w:lineRule="atLeast"/>
        <w:ind w:right="-144"/>
        <w:rPr>
          <w:b/>
          <w:sz w:val="26"/>
        </w:rPr>
      </w:pPr>
      <w:r>
        <w:rPr>
          <w:b/>
          <w:sz w:val="26"/>
        </w:rPr>
        <w:t>Signature</w:t>
      </w:r>
      <w:r>
        <w:rPr>
          <w:sz w:val="26"/>
        </w:rPr>
        <w:tab/>
      </w:r>
      <w:r>
        <w:rPr>
          <w:b/>
          <w:sz w:val="26"/>
        </w:rPr>
        <w:t>Date</w:t>
      </w:r>
      <w:r>
        <w:rPr>
          <w:b/>
          <w:sz w:val="26"/>
        </w:rPr>
        <w:tab/>
      </w:r>
    </w:p>
    <w:p w14:paraId="71E9BAD7" w14:textId="77777777" w:rsidR="00403599" w:rsidRPr="00D343DC" w:rsidRDefault="00403599" w:rsidP="00403599">
      <w:pPr>
        <w:tabs>
          <w:tab w:val="left" w:pos="5940"/>
          <w:tab w:val="left" w:pos="7920"/>
        </w:tabs>
        <w:spacing w:line="480" w:lineRule="atLeast"/>
        <w:ind w:right="-144"/>
        <w:rPr>
          <w:sz w:val="26"/>
          <w:u w:val="single"/>
        </w:rPr>
      </w:pPr>
      <w:r>
        <w:rPr>
          <w:b/>
          <w:sz w:val="26"/>
        </w:rPr>
        <w:t>Print Name:</w:t>
      </w:r>
      <w:r w:rsidRPr="00774174">
        <w:rPr>
          <w:sz w:val="26"/>
          <w:u w:val="single"/>
        </w:rPr>
        <w:tab/>
      </w:r>
      <w:r w:rsidRPr="00774174">
        <w:rPr>
          <w:sz w:val="26"/>
          <w:u w:val="single"/>
        </w:rPr>
        <w:tab/>
      </w:r>
      <w:r w:rsidRPr="00774174">
        <w:rPr>
          <w:sz w:val="26"/>
          <w:u w:val="single"/>
        </w:rPr>
        <w:tab/>
      </w:r>
      <w:r w:rsidRPr="00774174">
        <w:rPr>
          <w:sz w:val="26"/>
        </w:rPr>
        <w:br/>
      </w:r>
      <w:r>
        <w:rPr>
          <w:b/>
          <w:sz w:val="26"/>
        </w:rPr>
        <w:t>Title:</w:t>
      </w:r>
      <w:r w:rsidRPr="00D343DC">
        <w:rPr>
          <w:sz w:val="26"/>
          <w:u w:val="single"/>
        </w:rPr>
        <w:tab/>
      </w:r>
      <w:r>
        <w:rPr>
          <w:sz w:val="26"/>
          <w:u w:val="single"/>
        </w:rPr>
        <w:tab/>
      </w:r>
      <w:r>
        <w:rPr>
          <w:sz w:val="26"/>
          <w:u w:val="single"/>
        </w:rPr>
        <w:tab/>
      </w:r>
    </w:p>
    <w:p w14:paraId="2EB1B3E8" w14:textId="30B523FD" w:rsidR="00403599" w:rsidRDefault="00403599" w:rsidP="00403599">
      <w:pPr>
        <w:tabs>
          <w:tab w:val="left" w:leader="underscore" w:pos="7290"/>
          <w:tab w:val="left" w:leader="underscore" w:pos="9450"/>
        </w:tabs>
        <w:spacing w:line="480" w:lineRule="atLeast"/>
        <w:ind w:right="-144"/>
        <w:rPr>
          <w:b/>
          <w:sz w:val="26"/>
        </w:rPr>
      </w:pPr>
      <w:r>
        <w:rPr>
          <w:b/>
          <w:sz w:val="26"/>
        </w:rPr>
        <w:t>Grantor Representative</w:t>
      </w:r>
      <w:r>
        <w:rPr>
          <w:b/>
          <w:sz w:val="26"/>
        </w:rPr>
        <w:br/>
      </w:r>
    </w:p>
    <w:p w14:paraId="724F9109" w14:textId="77777777" w:rsidR="00403599" w:rsidRDefault="00403599" w:rsidP="00403599">
      <w:pPr>
        <w:tabs>
          <w:tab w:val="left" w:leader="underscore" w:pos="7290"/>
          <w:tab w:val="left" w:leader="underscore" w:pos="9450"/>
        </w:tabs>
        <w:spacing w:line="480" w:lineRule="atLeast"/>
        <w:ind w:right="-144"/>
        <w:rPr>
          <w:b/>
          <w:sz w:val="26"/>
        </w:rPr>
      </w:pPr>
      <w:r>
        <w:rPr>
          <w:b/>
          <w:sz w:val="26"/>
        </w:rPr>
        <w:t>Signature</w:t>
      </w:r>
      <w:r>
        <w:rPr>
          <w:sz w:val="26"/>
        </w:rPr>
        <w:tab/>
      </w:r>
      <w:r>
        <w:rPr>
          <w:b/>
          <w:sz w:val="26"/>
        </w:rPr>
        <w:t>Date</w:t>
      </w:r>
      <w:r>
        <w:rPr>
          <w:b/>
          <w:sz w:val="26"/>
        </w:rPr>
        <w:tab/>
      </w:r>
    </w:p>
    <w:p w14:paraId="519EC1D9" w14:textId="30326279" w:rsidR="00BD5D60" w:rsidRPr="00403599" w:rsidRDefault="00403599" w:rsidP="00403599">
      <w:pPr>
        <w:tabs>
          <w:tab w:val="left" w:pos="5940"/>
          <w:tab w:val="left" w:pos="7920"/>
        </w:tabs>
        <w:spacing w:line="480" w:lineRule="atLeast"/>
        <w:ind w:right="-144"/>
        <w:rPr>
          <w:b/>
          <w:sz w:val="26"/>
        </w:rPr>
        <w:sectPr w:rsidR="00BD5D60" w:rsidRPr="00403599" w:rsidSect="002319FA">
          <w:headerReference w:type="default" r:id="rId11"/>
          <w:headerReference w:type="first" r:id="rId12"/>
          <w:pgSz w:w="12240" w:h="15840"/>
          <w:pgMar w:top="1440" w:right="1440" w:bottom="1440" w:left="1440" w:header="24" w:footer="720" w:gutter="0"/>
          <w:cols w:space="720"/>
          <w:titlePg/>
          <w:docGrid w:linePitch="360"/>
        </w:sectPr>
      </w:pPr>
      <w:r>
        <w:rPr>
          <w:b/>
          <w:sz w:val="26"/>
        </w:rPr>
        <w:t>Print Name:</w:t>
      </w:r>
      <w:r w:rsidRPr="00774174">
        <w:rPr>
          <w:sz w:val="26"/>
          <w:u w:val="single"/>
        </w:rPr>
        <w:tab/>
      </w:r>
      <w:r w:rsidRPr="00774174">
        <w:rPr>
          <w:sz w:val="26"/>
          <w:u w:val="single"/>
        </w:rPr>
        <w:tab/>
      </w:r>
      <w:r w:rsidRPr="00774174">
        <w:rPr>
          <w:sz w:val="26"/>
          <w:u w:val="single"/>
        </w:rPr>
        <w:tab/>
      </w:r>
      <w:r w:rsidRPr="00774174">
        <w:rPr>
          <w:sz w:val="26"/>
        </w:rPr>
        <w:br/>
      </w:r>
      <w:r>
        <w:rPr>
          <w:b/>
          <w:sz w:val="26"/>
        </w:rPr>
        <w:t>AOA Representative:</w:t>
      </w:r>
    </w:p>
    <w:p w14:paraId="4C46CB49" w14:textId="77777777" w:rsidR="00BD5D60" w:rsidRDefault="00BD5D60" w:rsidP="00C52A6E">
      <w:pPr>
        <w:pStyle w:val="AOALetterheadText"/>
        <w:spacing w:before="240"/>
      </w:pPr>
    </w:p>
    <w:sectPr w:rsidR="00BD5D60" w:rsidSect="002319FA">
      <w:type w:val="continuous"/>
      <w:pgSz w:w="12240" w:h="15840"/>
      <w:pgMar w:top="1440" w:right="720" w:bottom="965" w:left="720" w:header="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5AE7" w14:textId="77777777" w:rsidR="00D83D55" w:rsidRDefault="00D83D55" w:rsidP="00977657">
      <w:r>
        <w:separator/>
      </w:r>
    </w:p>
  </w:endnote>
  <w:endnote w:type="continuationSeparator" w:id="0">
    <w:p w14:paraId="4A62910E" w14:textId="77777777" w:rsidR="00D83D55" w:rsidRDefault="00D83D55" w:rsidP="0097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ms Rmn">
    <w:altName w:val="Times New Roma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FD636" w14:textId="77777777" w:rsidR="00D83D55" w:rsidRDefault="00D83D55" w:rsidP="00977657">
      <w:r>
        <w:separator/>
      </w:r>
    </w:p>
  </w:footnote>
  <w:footnote w:type="continuationSeparator" w:id="0">
    <w:p w14:paraId="395E3F1A" w14:textId="77777777" w:rsidR="00D83D55" w:rsidRDefault="00D83D55" w:rsidP="00977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8E04" w14:textId="77777777" w:rsidR="00025550" w:rsidRDefault="00025550" w:rsidP="00BD5D60">
    <w:pPr>
      <w:pStyle w:val="Header"/>
      <w:tabs>
        <w:tab w:val="clear" w:pos="4320"/>
        <w:tab w:val="clear" w:pos="8640"/>
        <w:tab w:val="left" w:pos="157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0B14" w14:textId="0F48573D" w:rsidR="00BD5D60" w:rsidRDefault="002319FA" w:rsidP="002319FA">
    <w:pPr>
      <w:pStyle w:val="Header"/>
      <w:ind w:left="-990"/>
    </w:pPr>
    <w:r>
      <w:rPr>
        <w:noProof/>
      </w:rPr>
      <w:drawing>
        <wp:inline distT="0" distB="0" distL="0" distR="0" wp14:anchorId="65476E96" wp14:editId="16C62AA2">
          <wp:extent cx="7244973" cy="1284125"/>
          <wp:effectExtent l="0" t="0" r="0" b="0"/>
          <wp:docPr id="1011629431" name="Picture 101162943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stretch>
                    <a:fillRect/>
                  </a:stretch>
                </pic:blipFill>
                <pic:spPr>
                  <a:xfrm>
                    <a:off x="0" y="0"/>
                    <a:ext cx="7309480" cy="12955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06C2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E24B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FB9E6F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560388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A2B7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A160E3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6D8AE9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3E8C164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C32CE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E32E1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BAE6F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CB10F03"/>
    <w:multiLevelType w:val="singleLevel"/>
    <w:tmpl w:val="2FB8019A"/>
    <w:lvl w:ilvl="0">
      <w:start w:val="1"/>
      <w:numFmt w:val="decimal"/>
      <w:lvlText w:val="%1."/>
      <w:legacy w:legacy="1" w:legacySpace="0" w:legacyIndent="360"/>
      <w:lvlJc w:val="left"/>
      <w:pPr>
        <w:ind w:left="360" w:hanging="360"/>
      </w:pPr>
    </w:lvl>
  </w:abstractNum>
  <w:num w:numId="1" w16cid:durableId="1622344907">
    <w:abstractNumId w:val="10"/>
  </w:num>
  <w:num w:numId="2" w16cid:durableId="2097356128">
    <w:abstractNumId w:val="8"/>
  </w:num>
  <w:num w:numId="3" w16cid:durableId="359664431">
    <w:abstractNumId w:val="7"/>
  </w:num>
  <w:num w:numId="4" w16cid:durableId="1266502142">
    <w:abstractNumId w:val="6"/>
  </w:num>
  <w:num w:numId="5" w16cid:durableId="1292980363">
    <w:abstractNumId w:val="5"/>
  </w:num>
  <w:num w:numId="6" w16cid:durableId="517230448">
    <w:abstractNumId w:val="9"/>
  </w:num>
  <w:num w:numId="7" w16cid:durableId="1295718035">
    <w:abstractNumId w:val="4"/>
  </w:num>
  <w:num w:numId="8" w16cid:durableId="1052539460">
    <w:abstractNumId w:val="3"/>
  </w:num>
  <w:num w:numId="9" w16cid:durableId="1256094405">
    <w:abstractNumId w:val="2"/>
  </w:num>
  <w:num w:numId="10" w16cid:durableId="918095286">
    <w:abstractNumId w:val="1"/>
  </w:num>
  <w:num w:numId="11" w16cid:durableId="1088963948">
    <w:abstractNumId w:val="0"/>
  </w:num>
  <w:num w:numId="12" w16cid:durableId="171771815">
    <w:abstractNumId w:val="12"/>
  </w:num>
  <w:num w:numId="13" w16cid:durableId="315233341">
    <w:abstractNumId w:val="12"/>
    <w:lvlOverride w:ilvl="0">
      <w:lvl w:ilvl="0">
        <w:start w:val="1"/>
        <w:numFmt w:val="decimal"/>
        <w:lvlText w:val="%1."/>
        <w:legacy w:legacy="1" w:legacySpace="0" w:legacyIndent="360"/>
        <w:lvlJc w:val="left"/>
        <w:pPr>
          <w:ind w:left="360" w:hanging="360"/>
        </w:pPr>
      </w:lvl>
    </w:lvlOverride>
  </w:num>
  <w:num w:numId="14" w16cid:durableId="1180781753">
    <w:abstractNumId w:val="12"/>
    <w:lvlOverride w:ilvl="0">
      <w:lvl w:ilvl="0">
        <w:start w:val="1"/>
        <w:numFmt w:val="decimal"/>
        <w:lvlText w:val="%1."/>
        <w:legacy w:legacy="1" w:legacySpace="0" w:legacyIndent="360"/>
        <w:lvlJc w:val="left"/>
        <w:pPr>
          <w:ind w:left="360" w:hanging="360"/>
        </w:pPr>
      </w:lvl>
    </w:lvlOverride>
  </w:num>
  <w:num w:numId="15" w16cid:durableId="679695532">
    <w:abstractNumId w:val="12"/>
    <w:lvlOverride w:ilvl="0">
      <w:lvl w:ilvl="0">
        <w:start w:val="1"/>
        <w:numFmt w:val="decimal"/>
        <w:lvlText w:val="%1."/>
        <w:legacy w:legacy="1" w:legacySpace="0" w:legacyIndent="360"/>
        <w:lvlJc w:val="left"/>
        <w:pPr>
          <w:ind w:left="360" w:hanging="360"/>
        </w:pPr>
      </w:lvl>
    </w:lvlOverride>
  </w:num>
  <w:num w:numId="16" w16cid:durableId="172499714">
    <w:abstractNumId w:val="12"/>
    <w:lvlOverride w:ilvl="0">
      <w:lvl w:ilvl="0">
        <w:start w:val="1"/>
        <w:numFmt w:val="decimal"/>
        <w:lvlText w:val="%1."/>
        <w:legacy w:legacy="1" w:legacySpace="0" w:legacyIndent="360"/>
        <w:lvlJc w:val="left"/>
        <w:pPr>
          <w:ind w:left="360" w:hanging="360"/>
        </w:pPr>
      </w:lvl>
    </w:lvlOverride>
  </w:num>
  <w:num w:numId="17" w16cid:durableId="1030573179">
    <w:abstractNumId w:val="12"/>
    <w:lvlOverride w:ilvl="0">
      <w:lvl w:ilvl="0">
        <w:start w:val="1"/>
        <w:numFmt w:val="decimal"/>
        <w:lvlText w:val="%1."/>
        <w:legacy w:legacy="1" w:legacySpace="0" w:legacyIndent="360"/>
        <w:lvlJc w:val="left"/>
        <w:pPr>
          <w:ind w:left="360" w:hanging="360"/>
        </w:pPr>
      </w:lvl>
    </w:lvlOverride>
  </w:num>
  <w:num w:numId="18" w16cid:durableId="1142498791">
    <w:abstractNumId w:val="12"/>
    <w:lvlOverride w:ilvl="0">
      <w:lvl w:ilvl="0">
        <w:start w:val="1"/>
        <w:numFmt w:val="decimal"/>
        <w:lvlText w:val="%1."/>
        <w:legacy w:legacy="1" w:legacySpace="0" w:legacyIndent="360"/>
        <w:lvlJc w:val="left"/>
        <w:pPr>
          <w:ind w:left="360" w:hanging="360"/>
        </w:pPr>
      </w:lvl>
    </w:lvlOverride>
  </w:num>
  <w:num w:numId="19" w16cid:durableId="1191144154">
    <w:abstractNumId w:val="12"/>
    <w:lvlOverride w:ilvl="0">
      <w:lvl w:ilvl="0">
        <w:start w:val="1"/>
        <w:numFmt w:val="decimal"/>
        <w:lvlText w:val="%1."/>
        <w:legacy w:legacy="1" w:legacySpace="0" w:legacyIndent="360"/>
        <w:lvlJc w:val="left"/>
        <w:pPr>
          <w:ind w:left="360" w:hanging="360"/>
        </w:pPr>
      </w:lvl>
    </w:lvlOverride>
  </w:num>
  <w:num w:numId="20" w16cid:durableId="1807116096">
    <w:abstractNumId w:val="12"/>
    <w:lvlOverride w:ilvl="0">
      <w:lvl w:ilvl="0">
        <w:start w:val="1"/>
        <w:numFmt w:val="decimal"/>
        <w:lvlText w:val="%1."/>
        <w:legacy w:legacy="1" w:legacySpace="0" w:legacyIndent="360"/>
        <w:lvlJc w:val="left"/>
        <w:pPr>
          <w:ind w:left="360" w:hanging="360"/>
        </w:pPr>
      </w:lvl>
    </w:lvlOverride>
  </w:num>
  <w:num w:numId="21" w16cid:durableId="1404067509">
    <w:abstractNumId w:val="11"/>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57"/>
    <w:rsid w:val="00025550"/>
    <w:rsid w:val="00073B6C"/>
    <w:rsid w:val="000C3A78"/>
    <w:rsid w:val="00174F28"/>
    <w:rsid w:val="001C32E9"/>
    <w:rsid w:val="001D15DD"/>
    <w:rsid w:val="00200289"/>
    <w:rsid w:val="0022243A"/>
    <w:rsid w:val="0022642B"/>
    <w:rsid w:val="002319FA"/>
    <w:rsid w:val="003B58B5"/>
    <w:rsid w:val="00403599"/>
    <w:rsid w:val="00474CBD"/>
    <w:rsid w:val="004A3102"/>
    <w:rsid w:val="004D709B"/>
    <w:rsid w:val="00541F70"/>
    <w:rsid w:val="005A362A"/>
    <w:rsid w:val="005C55E2"/>
    <w:rsid w:val="005F2E45"/>
    <w:rsid w:val="00634B3E"/>
    <w:rsid w:val="006812F7"/>
    <w:rsid w:val="006A3E80"/>
    <w:rsid w:val="006E47DF"/>
    <w:rsid w:val="006F6AC3"/>
    <w:rsid w:val="006F6B44"/>
    <w:rsid w:val="00713EC3"/>
    <w:rsid w:val="00717C47"/>
    <w:rsid w:val="007340FC"/>
    <w:rsid w:val="007527DB"/>
    <w:rsid w:val="007B06FF"/>
    <w:rsid w:val="00863D41"/>
    <w:rsid w:val="008C5EBF"/>
    <w:rsid w:val="00944FA4"/>
    <w:rsid w:val="009503BC"/>
    <w:rsid w:val="00977657"/>
    <w:rsid w:val="009B04EE"/>
    <w:rsid w:val="009B4AB5"/>
    <w:rsid w:val="009C7D6A"/>
    <w:rsid w:val="00A0210D"/>
    <w:rsid w:val="00A16360"/>
    <w:rsid w:val="00A31F02"/>
    <w:rsid w:val="00BD5D60"/>
    <w:rsid w:val="00C52A6E"/>
    <w:rsid w:val="00C90186"/>
    <w:rsid w:val="00D130C9"/>
    <w:rsid w:val="00D175AA"/>
    <w:rsid w:val="00D37D4A"/>
    <w:rsid w:val="00D83D55"/>
    <w:rsid w:val="00D9261C"/>
    <w:rsid w:val="00DF7C11"/>
    <w:rsid w:val="00E05D76"/>
    <w:rsid w:val="00FE2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C3DC6F"/>
  <w14:defaultImageDpi w14:val="300"/>
  <w15:chartTrackingRefBased/>
  <w15:docId w15:val="{36A7AE7B-971B-3A43-B705-94FDD7E9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ALetterheadText">
    <w:name w:val="AOA Letterhead Text"/>
    <w:basedOn w:val="Normal"/>
    <w:qFormat/>
    <w:rsid w:val="00200289"/>
    <w:pPr>
      <w:tabs>
        <w:tab w:val="left" w:pos="360"/>
        <w:tab w:val="left" w:pos="720"/>
        <w:tab w:val="left" w:pos="1080"/>
        <w:tab w:val="left" w:pos="1440"/>
        <w:tab w:val="left" w:pos="5520"/>
      </w:tabs>
      <w:suppressAutoHyphens/>
      <w:spacing w:after="280" w:line="280" w:lineRule="exact"/>
    </w:pPr>
    <w:rPr>
      <w:rFonts w:ascii="Arial" w:hAnsi="Arial"/>
      <w:sz w:val="22"/>
    </w:rPr>
  </w:style>
  <w:style w:type="paragraph" w:styleId="BalloonText">
    <w:name w:val="Balloon Text"/>
    <w:basedOn w:val="Normal"/>
    <w:link w:val="BalloonTextChar"/>
    <w:uiPriority w:val="99"/>
    <w:semiHidden/>
    <w:unhideWhenUsed/>
    <w:rsid w:val="00977657"/>
    <w:rPr>
      <w:rFonts w:ascii="Lucida Grande" w:hAnsi="Lucida Grande" w:cs="Lucida Grande"/>
      <w:sz w:val="18"/>
      <w:szCs w:val="18"/>
    </w:rPr>
  </w:style>
  <w:style w:type="character" w:customStyle="1" w:styleId="BalloonTextChar">
    <w:name w:val="Balloon Text Char"/>
    <w:link w:val="BalloonText"/>
    <w:uiPriority w:val="99"/>
    <w:semiHidden/>
    <w:rsid w:val="00977657"/>
    <w:rPr>
      <w:rFonts w:ascii="Lucida Grande" w:hAnsi="Lucida Grande" w:cs="Lucida Grande"/>
      <w:sz w:val="18"/>
      <w:szCs w:val="18"/>
    </w:rPr>
  </w:style>
  <w:style w:type="paragraph" w:styleId="Header">
    <w:name w:val="header"/>
    <w:basedOn w:val="Normal"/>
    <w:link w:val="HeaderChar"/>
    <w:uiPriority w:val="99"/>
    <w:unhideWhenUsed/>
    <w:rsid w:val="00977657"/>
    <w:pPr>
      <w:tabs>
        <w:tab w:val="center" w:pos="4320"/>
        <w:tab w:val="right" w:pos="8640"/>
      </w:tabs>
    </w:pPr>
  </w:style>
  <w:style w:type="character" w:customStyle="1" w:styleId="HeaderChar">
    <w:name w:val="Header Char"/>
    <w:basedOn w:val="DefaultParagraphFont"/>
    <w:link w:val="Header"/>
    <w:uiPriority w:val="99"/>
    <w:rsid w:val="00977657"/>
  </w:style>
  <w:style w:type="paragraph" w:styleId="Footer">
    <w:name w:val="footer"/>
    <w:basedOn w:val="Normal"/>
    <w:link w:val="FooterChar"/>
    <w:uiPriority w:val="99"/>
    <w:unhideWhenUsed/>
    <w:rsid w:val="00977657"/>
    <w:pPr>
      <w:tabs>
        <w:tab w:val="center" w:pos="4320"/>
        <w:tab w:val="right" w:pos="8640"/>
      </w:tabs>
    </w:pPr>
  </w:style>
  <w:style w:type="character" w:customStyle="1" w:styleId="FooterChar">
    <w:name w:val="Footer Char"/>
    <w:basedOn w:val="DefaultParagraphFont"/>
    <w:link w:val="Footer"/>
    <w:uiPriority w:val="99"/>
    <w:rsid w:val="00977657"/>
  </w:style>
  <w:style w:type="character" w:styleId="Hyperlink">
    <w:name w:val="Hyperlink"/>
    <w:uiPriority w:val="99"/>
    <w:unhideWhenUsed/>
    <w:rsid w:val="00D37D4A"/>
    <w:rPr>
      <w:color w:val="22A49C"/>
      <w:u w:val="none"/>
    </w:rPr>
  </w:style>
  <w:style w:type="paragraph" w:styleId="Title">
    <w:name w:val="Title"/>
    <w:basedOn w:val="Normal"/>
    <w:link w:val="TitleChar"/>
    <w:qFormat/>
    <w:rsid w:val="004035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ms Rmn" w:eastAsia="Times New Roman" w:hAnsi="Tms Rmn"/>
      <w:i/>
      <w:sz w:val="36"/>
      <w:szCs w:val="20"/>
    </w:rPr>
  </w:style>
  <w:style w:type="character" w:customStyle="1" w:styleId="TitleChar">
    <w:name w:val="Title Char"/>
    <w:basedOn w:val="DefaultParagraphFont"/>
    <w:link w:val="Title"/>
    <w:rsid w:val="00403599"/>
    <w:rPr>
      <w:rFonts w:ascii="Tms Rmn" w:eastAsia="Times New Roman" w:hAnsi="Tms Rmn"/>
      <w:i/>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7450ECC5D4F242936DDE50468F1D6D" ma:contentTypeVersion="1" ma:contentTypeDescription="Create a new document." ma:contentTypeScope="" ma:versionID="074d8a584e1a90d6ef0037356c40bb14">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0FF3CB-4251-4FCC-AB56-03316EDEF140}">
  <ds:schemaRefs>
    <ds:schemaRef ds:uri="http://schemas.microsoft.com/sharepoint/v3/contenttype/forms"/>
  </ds:schemaRefs>
</ds:datastoreItem>
</file>

<file path=customXml/itemProps2.xml><?xml version="1.0" encoding="utf-8"?>
<ds:datastoreItem xmlns:ds="http://schemas.openxmlformats.org/officeDocument/2006/customXml" ds:itemID="{59FE2A73-A13C-4F3F-8C39-18C50990C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2DD6F-8DAD-4EAF-A8C2-8B67ECDB1AC5}">
  <ds:schemaRefs>
    <ds:schemaRef ds:uri="http://schemas.openxmlformats.org/officeDocument/2006/bibliography"/>
  </ds:schemaRefs>
</ds:datastoreItem>
</file>

<file path=customXml/itemProps4.xml><?xml version="1.0" encoding="utf-8"?>
<ds:datastoreItem xmlns:ds="http://schemas.openxmlformats.org/officeDocument/2006/customXml" ds:itemID="{A6204285-10E1-45F0-827C-4884AD5D5A3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Passero</dc:creator>
  <cp:keywords/>
  <cp:lastModifiedBy>Fraler, Jeff</cp:lastModifiedBy>
  <cp:revision>8</cp:revision>
  <dcterms:created xsi:type="dcterms:W3CDTF">2023-05-26T17:30:00Z</dcterms:created>
  <dcterms:modified xsi:type="dcterms:W3CDTF">2023-06-29T00:45:00Z</dcterms:modified>
</cp:coreProperties>
</file>