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413FC" w14:textId="77777777" w:rsidR="00AD5788" w:rsidRPr="00AD5788" w:rsidRDefault="00AD5788" w:rsidP="00AD5788">
      <w:pPr>
        <w:jc w:val="center"/>
        <w:rPr>
          <w:b/>
          <w:sz w:val="28"/>
          <w:u w:val="single"/>
        </w:rPr>
      </w:pPr>
      <w:r w:rsidRPr="00AD5788">
        <w:rPr>
          <w:b/>
          <w:sz w:val="28"/>
          <w:u w:val="single"/>
        </w:rPr>
        <w:t>AOA Joint Providership</w:t>
      </w:r>
    </w:p>
    <w:p w14:paraId="3B6FA9A1" w14:textId="77777777" w:rsidR="002B7802" w:rsidRPr="00AD5788" w:rsidRDefault="00AD5788" w:rsidP="00AD5788">
      <w:pPr>
        <w:jc w:val="center"/>
        <w:rPr>
          <w:b/>
          <w:sz w:val="28"/>
        </w:rPr>
      </w:pPr>
      <w:r w:rsidRPr="00AD5788">
        <w:rPr>
          <w:b/>
          <w:sz w:val="28"/>
        </w:rPr>
        <w:t>Front Matter Template</w:t>
      </w:r>
    </w:p>
    <w:p w14:paraId="45CB46E7" w14:textId="77777777" w:rsidR="00AD5788" w:rsidRDefault="00AD5788" w:rsidP="00AD5788">
      <w:pPr>
        <w:jc w:val="center"/>
        <w:rPr>
          <w:b/>
        </w:rPr>
      </w:pPr>
    </w:p>
    <w:p w14:paraId="226BD55A" w14:textId="77777777" w:rsidR="00AD5788" w:rsidRDefault="00AD5788" w:rsidP="00AD5788">
      <w:pPr>
        <w:spacing w:after="0" w:line="240" w:lineRule="auto"/>
        <w:rPr>
          <w:rFonts w:eastAsia="Times New Roman" w:cstheme="minorHAnsi"/>
          <w:sz w:val="24"/>
          <w:szCs w:val="24"/>
        </w:rPr>
      </w:pPr>
    </w:p>
    <w:p w14:paraId="1DE49179" w14:textId="77777777" w:rsidR="00AD5788" w:rsidRPr="00AD5788" w:rsidRDefault="00AD5788" w:rsidP="00AD5788">
      <w:pPr>
        <w:shd w:val="clear" w:color="auto" w:fill="FFFFFF"/>
        <w:spacing w:after="150" w:line="240" w:lineRule="auto"/>
        <w:rPr>
          <w:rFonts w:eastAsia="Times New Roman" w:cstheme="minorHAnsi"/>
          <w:sz w:val="21"/>
          <w:szCs w:val="21"/>
        </w:rPr>
      </w:pPr>
      <w:r w:rsidRPr="00AD5788">
        <w:rPr>
          <w:rFonts w:eastAsia="Times New Roman" w:cstheme="minorHAnsi"/>
          <w:b/>
          <w:bCs/>
          <w:sz w:val="21"/>
          <w:szCs w:val="21"/>
        </w:rPr>
        <w:t>Accreditation:</w:t>
      </w:r>
      <w:r w:rsidRPr="00AD5788">
        <w:rPr>
          <w:rFonts w:eastAsia="Times New Roman" w:cstheme="minorHAnsi"/>
          <w:sz w:val="21"/>
          <w:szCs w:val="21"/>
        </w:rPr>
        <w:br/>
        <w:t xml:space="preserve">This activity has been planned and implemented in accordance with the accreditation requirements and policies of the Accreditation Council for Continuing Medical Education (ACCME) through the joint providership of the American Osteopathic Association (AOA) and </w:t>
      </w:r>
      <w:r w:rsidRPr="00AD5788">
        <w:rPr>
          <w:rFonts w:eastAsia="Times New Roman" w:cstheme="minorHAnsi"/>
          <w:sz w:val="21"/>
          <w:szCs w:val="21"/>
          <w:highlight w:val="yellow"/>
        </w:rPr>
        <w:t>&lt;joint provider name&gt;</w:t>
      </w:r>
      <w:r w:rsidRPr="00AD5788">
        <w:rPr>
          <w:rFonts w:eastAsia="Times New Roman" w:cstheme="minorHAnsi"/>
          <w:sz w:val="21"/>
          <w:szCs w:val="21"/>
        </w:rPr>
        <w:t>. The AOA is accredited by the ACCME to provide continuing medical education for physicians.</w:t>
      </w:r>
    </w:p>
    <w:p w14:paraId="64AD9623" w14:textId="77777777" w:rsidR="00AD5788" w:rsidRPr="00AD5788" w:rsidRDefault="00AD5788" w:rsidP="00AD5788">
      <w:pPr>
        <w:shd w:val="clear" w:color="auto" w:fill="FFFFFF"/>
        <w:spacing w:after="150" w:line="240" w:lineRule="auto"/>
        <w:rPr>
          <w:rFonts w:eastAsia="Times New Roman" w:cstheme="minorHAnsi"/>
          <w:sz w:val="21"/>
          <w:szCs w:val="21"/>
        </w:rPr>
      </w:pPr>
      <w:r w:rsidRPr="00AD5788">
        <w:rPr>
          <w:rFonts w:eastAsia="Times New Roman" w:cstheme="minorHAnsi"/>
          <w:b/>
          <w:bCs/>
          <w:sz w:val="21"/>
          <w:szCs w:val="21"/>
        </w:rPr>
        <w:t>Credit Designation: </w:t>
      </w:r>
      <w:r w:rsidRPr="00AD5788">
        <w:rPr>
          <w:rFonts w:eastAsia="Times New Roman" w:cstheme="minorHAnsi"/>
          <w:b/>
          <w:bCs/>
          <w:sz w:val="21"/>
          <w:szCs w:val="21"/>
        </w:rPr>
        <w:br/>
      </w:r>
      <w:r w:rsidRPr="00AD5788">
        <w:rPr>
          <w:rFonts w:eastAsia="Times New Roman" w:cstheme="minorHAnsi"/>
          <w:sz w:val="21"/>
          <w:szCs w:val="21"/>
          <w:highlight w:val="yellow"/>
        </w:rPr>
        <w:t>&lt;Add AOA credit designation if applicable&gt;</w:t>
      </w:r>
    </w:p>
    <w:p w14:paraId="7265ABFB" w14:textId="77777777" w:rsidR="00AD5788" w:rsidRPr="00AD5788" w:rsidRDefault="00AD5788" w:rsidP="00AD5788">
      <w:pPr>
        <w:shd w:val="clear" w:color="auto" w:fill="FFFFFF"/>
        <w:spacing w:after="150" w:line="240" w:lineRule="auto"/>
        <w:rPr>
          <w:rFonts w:eastAsia="Times New Roman" w:cstheme="minorHAnsi"/>
          <w:sz w:val="21"/>
          <w:szCs w:val="21"/>
        </w:rPr>
      </w:pPr>
      <w:r w:rsidRPr="00AD5788">
        <w:rPr>
          <w:rFonts w:eastAsia="Times New Roman" w:cstheme="minorHAnsi"/>
          <w:sz w:val="21"/>
          <w:szCs w:val="21"/>
        </w:rPr>
        <w:t>AOA designates this activity for a maximum of </w:t>
      </w:r>
      <w:r w:rsidRPr="00AD5788">
        <w:rPr>
          <w:rFonts w:eastAsia="Times New Roman" w:cstheme="minorHAnsi"/>
          <w:i/>
          <w:iCs/>
          <w:sz w:val="21"/>
          <w:szCs w:val="21"/>
          <w:highlight w:val="yellow"/>
        </w:rPr>
        <w:t>&lt;credit number&gt;</w:t>
      </w:r>
      <w:r>
        <w:rPr>
          <w:rFonts w:eastAsia="Times New Roman" w:cstheme="minorHAnsi"/>
          <w:i/>
          <w:iCs/>
          <w:sz w:val="21"/>
          <w:szCs w:val="21"/>
        </w:rPr>
        <w:t xml:space="preserve"> </w:t>
      </w:r>
      <w:r w:rsidRPr="00AD5788">
        <w:rPr>
          <w:rFonts w:eastAsia="Times New Roman" w:cstheme="minorHAnsi"/>
          <w:i/>
          <w:iCs/>
          <w:sz w:val="21"/>
          <w:szCs w:val="21"/>
        </w:rPr>
        <w:t>AMA PRA Category 1 Credits™</w:t>
      </w:r>
      <w:r w:rsidRPr="00AD5788">
        <w:rPr>
          <w:rFonts w:eastAsia="Times New Roman" w:cstheme="minorHAnsi"/>
          <w:sz w:val="21"/>
          <w:szCs w:val="21"/>
        </w:rPr>
        <w:t>. Physicians should claim only the credit commensurate with the extent of their participation in the activity.</w:t>
      </w:r>
    </w:p>
    <w:p w14:paraId="4183B245" w14:textId="77777777" w:rsidR="00AD5788" w:rsidRDefault="00AD5788" w:rsidP="00AD5788">
      <w:pPr>
        <w:shd w:val="clear" w:color="auto" w:fill="FFFFFF"/>
        <w:spacing w:after="150" w:line="240" w:lineRule="auto"/>
        <w:rPr>
          <w:rFonts w:eastAsia="Times New Roman" w:cstheme="minorHAnsi"/>
          <w:b/>
          <w:bCs/>
          <w:sz w:val="21"/>
          <w:szCs w:val="21"/>
        </w:rPr>
      </w:pPr>
      <w:r w:rsidRPr="00AD5788">
        <w:rPr>
          <w:rFonts w:eastAsia="Times New Roman" w:cstheme="minorHAnsi"/>
          <w:b/>
          <w:bCs/>
          <w:sz w:val="21"/>
          <w:szCs w:val="21"/>
        </w:rPr>
        <w:t>Learning Objectives</w:t>
      </w:r>
    </w:p>
    <w:p w14:paraId="745AE518" w14:textId="77777777" w:rsidR="00AD5788" w:rsidRPr="00AD5788" w:rsidRDefault="00AD5788" w:rsidP="00AD5788">
      <w:pPr>
        <w:shd w:val="clear" w:color="auto" w:fill="FFFFFF"/>
        <w:spacing w:after="150" w:line="240" w:lineRule="auto"/>
        <w:rPr>
          <w:rFonts w:eastAsia="Times New Roman" w:cstheme="minorHAnsi"/>
          <w:sz w:val="21"/>
          <w:szCs w:val="21"/>
        </w:rPr>
      </w:pPr>
      <w:r w:rsidRPr="00AD5788">
        <w:rPr>
          <w:rFonts w:eastAsia="Times New Roman" w:cstheme="minorHAnsi"/>
          <w:bCs/>
          <w:sz w:val="21"/>
          <w:szCs w:val="21"/>
        </w:rPr>
        <w:t>After c</w:t>
      </w:r>
      <w:r>
        <w:rPr>
          <w:rFonts w:eastAsia="Times New Roman" w:cstheme="minorHAnsi"/>
          <w:bCs/>
          <w:sz w:val="21"/>
          <w:szCs w:val="21"/>
        </w:rPr>
        <w:t>ompleting this activity, learners will be able to</w:t>
      </w:r>
    </w:p>
    <w:p w14:paraId="5E13B65D" w14:textId="77777777" w:rsidR="00AD5788" w:rsidRPr="00AD5788" w:rsidRDefault="00AD5788" w:rsidP="00AD5788">
      <w:pPr>
        <w:numPr>
          <w:ilvl w:val="0"/>
          <w:numId w:val="1"/>
        </w:numPr>
        <w:shd w:val="clear" w:color="auto" w:fill="FFFFFF"/>
        <w:spacing w:before="100" w:beforeAutospacing="1" w:after="100" w:afterAutospacing="1" w:line="300" w:lineRule="atLeast"/>
        <w:ind w:left="375"/>
        <w:rPr>
          <w:rFonts w:eastAsia="Times New Roman" w:cstheme="minorHAnsi"/>
          <w:sz w:val="21"/>
          <w:szCs w:val="21"/>
          <w:highlight w:val="yellow"/>
        </w:rPr>
      </w:pPr>
      <w:r w:rsidRPr="00AD5788">
        <w:rPr>
          <w:rFonts w:eastAsia="Times New Roman" w:cstheme="minorHAnsi"/>
          <w:sz w:val="21"/>
          <w:szCs w:val="21"/>
          <w:highlight w:val="yellow"/>
        </w:rPr>
        <w:t>&lt;Learning Objective 1&gt;</w:t>
      </w:r>
    </w:p>
    <w:p w14:paraId="3547F650" w14:textId="77777777" w:rsidR="00AD5788" w:rsidRPr="00AD5788" w:rsidRDefault="00AD5788" w:rsidP="00AD5788">
      <w:pPr>
        <w:numPr>
          <w:ilvl w:val="0"/>
          <w:numId w:val="1"/>
        </w:numPr>
        <w:shd w:val="clear" w:color="auto" w:fill="FFFFFF"/>
        <w:spacing w:before="100" w:beforeAutospacing="1" w:after="100" w:afterAutospacing="1" w:line="300" w:lineRule="atLeast"/>
        <w:ind w:left="375"/>
        <w:rPr>
          <w:rFonts w:eastAsia="Times New Roman" w:cstheme="minorHAnsi"/>
          <w:sz w:val="21"/>
          <w:szCs w:val="21"/>
          <w:highlight w:val="yellow"/>
        </w:rPr>
      </w:pPr>
      <w:r w:rsidRPr="00AD5788">
        <w:rPr>
          <w:rFonts w:eastAsia="Times New Roman" w:cstheme="minorHAnsi"/>
          <w:sz w:val="21"/>
          <w:szCs w:val="21"/>
          <w:highlight w:val="yellow"/>
        </w:rPr>
        <w:t>&lt;Learning objective 2&gt;</w:t>
      </w:r>
    </w:p>
    <w:p w14:paraId="24C11D73" w14:textId="77777777" w:rsidR="00AD5788" w:rsidRPr="00AD5788" w:rsidRDefault="00AD5788" w:rsidP="00AD5788">
      <w:pPr>
        <w:numPr>
          <w:ilvl w:val="0"/>
          <w:numId w:val="1"/>
        </w:numPr>
        <w:shd w:val="clear" w:color="auto" w:fill="FFFFFF"/>
        <w:spacing w:before="100" w:beforeAutospacing="1" w:after="100" w:afterAutospacing="1" w:line="300" w:lineRule="atLeast"/>
        <w:ind w:left="375"/>
        <w:rPr>
          <w:rFonts w:eastAsia="Times New Roman" w:cstheme="minorHAnsi"/>
          <w:sz w:val="21"/>
          <w:szCs w:val="21"/>
          <w:highlight w:val="yellow"/>
        </w:rPr>
      </w:pPr>
      <w:r w:rsidRPr="00AD5788">
        <w:rPr>
          <w:rFonts w:eastAsia="Times New Roman" w:cstheme="minorHAnsi"/>
          <w:sz w:val="21"/>
          <w:szCs w:val="21"/>
          <w:highlight w:val="yellow"/>
        </w:rPr>
        <w:t>&lt;Continue for all learning objectives&gt;</w:t>
      </w:r>
    </w:p>
    <w:p w14:paraId="1F939C12" w14:textId="77777777" w:rsidR="00AD5788" w:rsidRPr="00AD5788" w:rsidRDefault="00AD5788" w:rsidP="00AD5788">
      <w:pPr>
        <w:spacing w:after="0" w:line="240" w:lineRule="auto"/>
        <w:rPr>
          <w:rFonts w:eastAsia="Times New Roman" w:cstheme="minorHAnsi"/>
          <w:b/>
          <w:szCs w:val="24"/>
        </w:rPr>
      </w:pPr>
      <w:r w:rsidRPr="00AD5788">
        <w:rPr>
          <w:rFonts w:eastAsia="Times New Roman" w:cstheme="minorHAnsi"/>
          <w:b/>
          <w:szCs w:val="24"/>
        </w:rPr>
        <w:t>Faculty</w:t>
      </w:r>
    </w:p>
    <w:p w14:paraId="7CD72977" w14:textId="77777777" w:rsidR="00AD5788" w:rsidRPr="00AD5788" w:rsidRDefault="00AD5788" w:rsidP="00AD5788">
      <w:pPr>
        <w:spacing w:after="0" w:line="240" w:lineRule="auto"/>
        <w:rPr>
          <w:rFonts w:eastAsia="Times New Roman" w:cstheme="minorHAnsi"/>
          <w:sz w:val="24"/>
          <w:szCs w:val="24"/>
        </w:rPr>
      </w:pPr>
    </w:p>
    <w:p w14:paraId="655EACA5" w14:textId="77777777" w:rsidR="00AD5788" w:rsidRDefault="00AD5788" w:rsidP="00AD5788">
      <w:pPr>
        <w:shd w:val="clear" w:color="auto" w:fill="FFFFFF"/>
        <w:spacing w:after="150" w:line="240" w:lineRule="auto"/>
        <w:rPr>
          <w:rFonts w:eastAsia="Times New Roman" w:cstheme="minorHAnsi"/>
          <w:bCs/>
          <w:sz w:val="21"/>
          <w:szCs w:val="21"/>
        </w:rPr>
      </w:pPr>
      <w:r w:rsidRPr="00AD5788">
        <w:rPr>
          <w:rFonts w:eastAsia="Times New Roman" w:cstheme="minorHAnsi"/>
          <w:bCs/>
          <w:sz w:val="21"/>
          <w:szCs w:val="21"/>
          <w:highlight w:val="yellow"/>
        </w:rPr>
        <w:t>&lt;listing of all faculty which includes, authors, planners, presenters, moderators, reviewers, etc.&gt;</w:t>
      </w:r>
    </w:p>
    <w:p w14:paraId="7C121DDD" w14:textId="77777777" w:rsidR="00AD5788" w:rsidRPr="00AD5788" w:rsidRDefault="00AD5788" w:rsidP="00AD5788">
      <w:pPr>
        <w:shd w:val="clear" w:color="auto" w:fill="FFFFFF"/>
        <w:spacing w:after="150" w:line="240" w:lineRule="auto"/>
        <w:rPr>
          <w:rFonts w:eastAsia="Times New Roman" w:cstheme="minorHAnsi"/>
          <w:bCs/>
          <w:sz w:val="21"/>
          <w:szCs w:val="21"/>
        </w:rPr>
      </w:pPr>
    </w:p>
    <w:p w14:paraId="5E10A503" w14:textId="77777777" w:rsidR="00AD5788" w:rsidRPr="00AD5788" w:rsidRDefault="00AD5788" w:rsidP="00AD5788">
      <w:pPr>
        <w:shd w:val="clear" w:color="auto" w:fill="FFFFFF"/>
        <w:spacing w:after="150" w:line="240" w:lineRule="auto"/>
        <w:rPr>
          <w:rFonts w:eastAsia="Times New Roman" w:cstheme="minorHAnsi"/>
          <w:sz w:val="21"/>
          <w:szCs w:val="21"/>
        </w:rPr>
      </w:pPr>
      <w:r w:rsidRPr="00AD5788">
        <w:rPr>
          <w:rFonts w:eastAsia="Times New Roman" w:cstheme="minorHAnsi"/>
          <w:b/>
          <w:bCs/>
          <w:sz w:val="21"/>
          <w:szCs w:val="21"/>
        </w:rPr>
        <w:t>Original and last review release date:</w:t>
      </w:r>
      <w:r w:rsidRPr="00AD5788">
        <w:rPr>
          <w:rFonts w:eastAsia="Times New Roman" w:cstheme="minorHAnsi"/>
          <w:sz w:val="21"/>
          <w:szCs w:val="21"/>
        </w:rPr>
        <w:t> </w:t>
      </w:r>
      <w:r w:rsidRPr="00AD5788">
        <w:rPr>
          <w:rFonts w:eastAsia="Times New Roman" w:cstheme="minorHAnsi"/>
          <w:sz w:val="21"/>
          <w:szCs w:val="21"/>
          <w:highlight w:val="yellow"/>
        </w:rPr>
        <w:t>&lt;date&gt;</w:t>
      </w:r>
      <w:r w:rsidRPr="00AD5788">
        <w:rPr>
          <w:rFonts w:eastAsia="Times New Roman" w:cstheme="minorHAnsi"/>
          <w:sz w:val="21"/>
          <w:szCs w:val="21"/>
        </w:rPr>
        <w:br/>
      </w:r>
      <w:r w:rsidRPr="00AD5788">
        <w:rPr>
          <w:rFonts w:eastAsia="Times New Roman" w:cstheme="minorHAnsi"/>
          <w:b/>
          <w:bCs/>
          <w:sz w:val="21"/>
          <w:szCs w:val="21"/>
        </w:rPr>
        <w:t>Expiration date:</w:t>
      </w:r>
      <w:r w:rsidRPr="00AD5788">
        <w:rPr>
          <w:rFonts w:eastAsia="Times New Roman" w:cstheme="minorHAnsi"/>
          <w:sz w:val="21"/>
          <w:szCs w:val="21"/>
        </w:rPr>
        <w:t> </w:t>
      </w:r>
      <w:r w:rsidRPr="00AD5788">
        <w:rPr>
          <w:rFonts w:eastAsia="Times New Roman" w:cstheme="minorHAnsi"/>
          <w:sz w:val="21"/>
          <w:szCs w:val="21"/>
          <w:highlight w:val="yellow"/>
        </w:rPr>
        <w:t>&lt;date&gt;</w:t>
      </w:r>
      <w:r w:rsidRPr="00AD5788">
        <w:rPr>
          <w:rFonts w:eastAsia="Times New Roman" w:cstheme="minorHAnsi"/>
          <w:sz w:val="21"/>
          <w:szCs w:val="21"/>
        </w:rPr>
        <w:br/>
      </w:r>
      <w:r w:rsidRPr="00AD5788">
        <w:rPr>
          <w:rFonts w:eastAsia="Times New Roman" w:cstheme="minorHAnsi"/>
          <w:b/>
          <w:bCs/>
          <w:sz w:val="21"/>
          <w:szCs w:val="21"/>
        </w:rPr>
        <w:t>Estimated time to complete activity:</w:t>
      </w:r>
      <w:r w:rsidRPr="00AD5788">
        <w:rPr>
          <w:rFonts w:eastAsia="Times New Roman" w:cstheme="minorHAnsi"/>
          <w:sz w:val="21"/>
          <w:szCs w:val="21"/>
        </w:rPr>
        <w:t> </w:t>
      </w:r>
      <w:r w:rsidRPr="00AD5788">
        <w:rPr>
          <w:rFonts w:eastAsia="Times New Roman" w:cstheme="minorHAnsi"/>
          <w:sz w:val="21"/>
          <w:szCs w:val="21"/>
          <w:highlight w:val="yellow"/>
        </w:rPr>
        <w:t>&lt;length of time&gt;</w:t>
      </w:r>
    </w:p>
    <w:p w14:paraId="3F975C80" w14:textId="77777777" w:rsidR="00AD5788" w:rsidRDefault="00AD5788" w:rsidP="00AD5788">
      <w:pPr>
        <w:shd w:val="clear" w:color="auto" w:fill="FFFFFF"/>
        <w:spacing w:after="150" w:line="240" w:lineRule="auto"/>
        <w:rPr>
          <w:rFonts w:eastAsia="Times New Roman" w:cstheme="minorHAnsi"/>
          <w:b/>
          <w:bCs/>
          <w:sz w:val="21"/>
          <w:szCs w:val="21"/>
        </w:rPr>
      </w:pPr>
      <w:r w:rsidRPr="00AD5788">
        <w:rPr>
          <w:rFonts w:eastAsia="Times New Roman" w:cstheme="minorHAnsi"/>
          <w:b/>
          <w:bCs/>
          <w:sz w:val="21"/>
          <w:szCs w:val="21"/>
        </w:rPr>
        <w:t>Statement of Need</w:t>
      </w:r>
      <w:r>
        <w:rPr>
          <w:rFonts w:eastAsia="Times New Roman" w:cstheme="minorHAnsi"/>
          <w:b/>
          <w:bCs/>
          <w:sz w:val="21"/>
          <w:szCs w:val="21"/>
        </w:rPr>
        <w:t>/Description/or Summary of Gap Analysis</w:t>
      </w:r>
    </w:p>
    <w:p w14:paraId="2CC4705F" w14:textId="77777777" w:rsidR="00AD5788" w:rsidRPr="00AD5788" w:rsidRDefault="00AD5788" w:rsidP="00AD5788">
      <w:pPr>
        <w:shd w:val="clear" w:color="auto" w:fill="FFFFFF"/>
        <w:spacing w:after="150" w:line="240" w:lineRule="auto"/>
        <w:rPr>
          <w:rFonts w:eastAsia="Times New Roman" w:cstheme="minorHAnsi"/>
          <w:sz w:val="21"/>
          <w:szCs w:val="21"/>
          <w:highlight w:val="yellow"/>
        </w:rPr>
      </w:pPr>
      <w:r w:rsidRPr="00AD5788">
        <w:rPr>
          <w:rFonts w:eastAsia="Times New Roman" w:cstheme="minorHAnsi"/>
          <w:b/>
          <w:bCs/>
          <w:sz w:val="21"/>
          <w:szCs w:val="21"/>
          <w:highlight w:val="yellow"/>
        </w:rPr>
        <w:t>&lt;example language provided below&gt;</w:t>
      </w:r>
    </w:p>
    <w:p w14:paraId="0717A623" w14:textId="77777777" w:rsidR="00AD5788" w:rsidRPr="00AD5788" w:rsidRDefault="00AD5788" w:rsidP="00AD5788">
      <w:pPr>
        <w:shd w:val="clear" w:color="auto" w:fill="FFFFFF"/>
        <w:spacing w:after="150" w:line="240" w:lineRule="auto"/>
        <w:rPr>
          <w:rFonts w:eastAsia="Times New Roman" w:cstheme="minorHAnsi"/>
          <w:sz w:val="21"/>
          <w:szCs w:val="21"/>
          <w:highlight w:val="yellow"/>
        </w:rPr>
      </w:pPr>
      <w:r w:rsidRPr="00AD5788">
        <w:rPr>
          <w:rFonts w:eastAsia="Times New Roman" w:cstheme="minorHAnsi"/>
          <w:sz w:val="21"/>
          <w:szCs w:val="21"/>
          <w:highlight w:val="yellow"/>
        </w:rPr>
        <w:t>The activity will address osteopathic clinicians’, as well as other practicing clinicians’, needs to improve knowledge, competence and/or performance for the treatment of heart failure (HF) by leveraging the principles of osteopathic medicine.</w:t>
      </w:r>
    </w:p>
    <w:p w14:paraId="314D33FA" w14:textId="77777777" w:rsidR="00AD5788" w:rsidRPr="00AD5788" w:rsidRDefault="00AD5788" w:rsidP="00AD5788">
      <w:pPr>
        <w:shd w:val="clear" w:color="auto" w:fill="FFFFFF"/>
        <w:spacing w:after="150" w:line="240" w:lineRule="auto"/>
        <w:rPr>
          <w:rFonts w:eastAsia="Times New Roman" w:cstheme="minorHAnsi"/>
          <w:sz w:val="21"/>
          <w:szCs w:val="21"/>
        </w:rPr>
      </w:pPr>
      <w:r w:rsidRPr="00AD5788">
        <w:rPr>
          <w:rFonts w:eastAsia="Times New Roman" w:cstheme="minorHAnsi"/>
          <w:sz w:val="21"/>
          <w:szCs w:val="21"/>
          <w:highlight w:val="yellow"/>
        </w:rPr>
        <w:t xml:space="preserve">Cardiovascular disease (CVD) remains the leading cause of death in the United States, claiming nearly 836,546 lives annually.  HF is a significant contributor to this mortality, being mentioned in 300,122 deaths and cited as the underlying cause in &gt;75,000 of those deaths. These latter statistics provide a glimpse into the far-reaching effects of HF in terms of morbidity, mortality, and resultant health care and societal costs. Although it is not always identified as the definitive cause of death in CVD, the chronic and progressive nature of HF consistently plays a role in propagating substantial overall morbidity and mortality. Aside from mortality, hospitalization represents a significant component of HF-related disease burden. Annually, &gt;1 million patients are hospitalized with a primary diagnosis of HF, and HF is the leading cause of hospitalization </w:t>
      </w:r>
      <w:r w:rsidRPr="00AD5788">
        <w:rPr>
          <w:rFonts w:eastAsia="Times New Roman" w:cstheme="minorHAnsi"/>
          <w:sz w:val="21"/>
          <w:szCs w:val="21"/>
          <w:highlight w:val="yellow"/>
        </w:rPr>
        <w:lastRenderedPageBreak/>
        <w:t>among adults &gt;65 years of age in the United States. Rehospitalization, despite dramatic improvement in outcomes with medical therapy, is also not uncommon: at least half of patients are readmitted within 6 months of discharge. This exemplifies a key area of interest for providers, since readmissions are considered preventable and reducing readmission indicates an improvement in the quality of care.</w:t>
      </w:r>
    </w:p>
    <w:p w14:paraId="79CFDE8D" w14:textId="77777777" w:rsidR="00AD5788" w:rsidRPr="00AD5788" w:rsidRDefault="00AD5788" w:rsidP="00AD5788">
      <w:pPr>
        <w:shd w:val="clear" w:color="auto" w:fill="FFFFFF"/>
        <w:spacing w:after="150" w:line="240" w:lineRule="auto"/>
        <w:rPr>
          <w:rFonts w:eastAsia="Times New Roman" w:cstheme="minorHAnsi"/>
          <w:sz w:val="21"/>
          <w:szCs w:val="21"/>
        </w:rPr>
      </w:pPr>
      <w:r w:rsidRPr="00AD5788">
        <w:rPr>
          <w:rFonts w:eastAsia="Times New Roman" w:cstheme="minorHAnsi"/>
          <w:b/>
          <w:bCs/>
          <w:sz w:val="21"/>
          <w:szCs w:val="21"/>
        </w:rPr>
        <w:t>Target Audience</w:t>
      </w:r>
      <w:r w:rsidRPr="00AD5788">
        <w:rPr>
          <w:rFonts w:eastAsia="Times New Roman" w:cstheme="minorHAnsi"/>
          <w:b/>
          <w:bCs/>
          <w:sz w:val="21"/>
          <w:szCs w:val="21"/>
        </w:rPr>
        <w:br/>
      </w:r>
      <w:r w:rsidRPr="00AD5788">
        <w:rPr>
          <w:rFonts w:eastAsia="Times New Roman" w:cstheme="minorHAnsi"/>
          <w:sz w:val="21"/>
          <w:szCs w:val="21"/>
        </w:rPr>
        <w:t>This activity is for osteopathic physicians and other health care professionals who</w:t>
      </w:r>
      <w:r>
        <w:rPr>
          <w:rFonts w:eastAsia="Times New Roman" w:cstheme="minorHAnsi"/>
          <w:sz w:val="21"/>
          <w:szCs w:val="21"/>
        </w:rPr>
        <w:t xml:space="preserve"> </w:t>
      </w:r>
      <w:r w:rsidRPr="00AD5788">
        <w:rPr>
          <w:rFonts w:eastAsia="Times New Roman" w:cstheme="minorHAnsi"/>
          <w:sz w:val="21"/>
          <w:szCs w:val="21"/>
          <w:highlight w:val="yellow"/>
        </w:rPr>
        <w:t>&lt;XYZ&gt;</w:t>
      </w:r>
      <w:r w:rsidRPr="00AD5788">
        <w:rPr>
          <w:rFonts w:eastAsia="Times New Roman" w:cstheme="minorHAnsi"/>
          <w:sz w:val="21"/>
          <w:szCs w:val="21"/>
        </w:rPr>
        <w:t>.</w:t>
      </w:r>
    </w:p>
    <w:p w14:paraId="3699B42B" w14:textId="77777777" w:rsidR="00AD5788" w:rsidRPr="00AD5788" w:rsidRDefault="00AD5788" w:rsidP="00AD5788">
      <w:pPr>
        <w:shd w:val="clear" w:color="auto" w:fill="FFFFFF"/>
        <w:spacing w:after="150" w:line="240" w:lineRule="auto"/>
        <w:rPr>
          <w:rFonts w:eastAsia="Times New Roman" w:cstheme="minorHAnsi"/>
          <w:sz w:val="21"/>
          <w:szCs w:val="21"/>
        </w:rPr>
      </w:pPr>
      <w:r w:rsidRPr="00AD5788">
        <w:rPr>
          <w:rFonts w:eastAsia="Times New Roman" w:cstheme="minorHAnsi"/>
          <w:b/>
          <w:bCs/>
          <w:sz w:val="21"/>
          <w:szCs w:val="21"/>
        </w:rPr>
        <w:t>Agenda</w:t>
      </w:r>
    </w:p>
    <w:p w14:paraId="41A1B3A8" w14:textId="77777777" w:rsidR="00AD5788" w:rsidRPr="00AD5788" w:rsidRDefault="00AD5788" w:rsidP="00AD5788">
      <w:pPr>
        <w:shd w:val="clear" w:color="auto" w:fill="FFFFFF"/>
        <w:spacing w:after="150" w:line="240" w:lineRule="auto"/>
        <w:rPr>
          <w:rFonts w:eastAsia="Times New Roman" w:cstheme="minorHAnsi"/>
          <w:sz w:val="21"/>
          <w:szCs w:val="21"/>
          <w:highlight w:val="yellow"/>
        </w:rPr>
      </w:pPr>
      <w:r w:rsidRPr="00AD5788">
        <w:rPr>
          <w:rFonts w:eastAsia="Times New Roman" w:cstheme="minorHAnsi"/>
          <w:sz w:val="21"/>
          <w:szCs w:val="21"/>
          <w:highlight w:val="yellow"/>
        </w:rPr>
        <w:t>Objectives and Opening Comments</w:t>
      </w:r>
      <w:r w:rsidRPr="00AD5788">
        <w:rPr>
          <w:rFonts w:eastAsia="Times New Roman" w:cstheme="minorHAnsi"/>
          <w:sz w:val="21"/>
          <w:szCs w:val="21"/>
          <w:highlight w:val="yellow"/>
        </w:rPr>
        <w:br/>
      </w:r>
      <w:r w:rsidRPr="00AD5788">
        <w:rPr>
          <w:rFonts w:eastAsia="Times New Roman" w:cstheme="minorHAnsi"/>
          <w:sz w:val="21"/>
          <w:szCs w:val="21"/>
          <w:highlight w:val="yellow"/>
        </w:rPr>
        <w:br/>
      </w:r>
      <w:r w:rsidRPr="00AD5788">
        <w:rPr>
          <w:rFonts w:eastAsia="Times New Roman" w:cstheme="minorHAnsi"/>
          <w:i/>
          <w:iCs/>
          <w:sz w:val="21"/>
          <w:szCs w:val="21"/>
          <w:highlight w:val="yellow"/>
        </w:rPr>
        <w:t>Applying Principles of Osteopathic Medicine in the Management of HF</w:t>
      </w:r>
      <w:r w:rsidRPr="00AD5788">
        <w:rPr>
          <w:rFonts w:eastAsia="Times New Roman" w:cstheme="minorHAnsi"/>
          <w:i/>
          <w:iCs/>
          <w:sz w:val="21"/>
          <w:szCs w:val="21"/>
          <w:highlight w:val="yellow"/>
        </w:rPr>
        <w:br/>
      </w:r>
      <w:r w:rsidRPr="00AD5788">
        <w:rPr>
          <w:rFonts w:eastAsia="Times New Roman" w:cstheme="minorHAnsi"/>
          <w:sz w:val="21"/>
          <w:szCs w:val="21"/>
          <w:highlight w:val="yellow"/>
        </w:rPr>
        <w:br/>
      </w:r>
      <w:r w:rsidRPr="00AD5788">
        <w:rPr>
          <w:rFonts w:eastAsia="Times New Roman" w:cstheme="minorHAnsi"/>
          <w:b/>
          <w:bCs/>
          <w:sz w:val="21"/>
          <w:szCs w:val="21"/>
          <w:highlight w:val="yellow"/>
        </w:rPr>
        <w:t xml:space="preserve">Carman A. </w:t>
      </w:r>
      <w:proofErr w:type="spellStart"/>
      <w:r w:rsidRPr="00AD5788">
        <w:rPr>
          <w:rFonts w:eastAsia="Times New Roman" w:cstheme="minorHAnsi"/>
          <w:b/>
          <w:bCs/>
          <w:sz w:val="21"/>
          <w:szCs w:val="21"/>
          <w:highlight w:val="yellow"/>
        </w:rPr>
        <w:t>Ciervo</w:t>
      </w:r>
      <w:proofErr w:type="spellEnd"/>
      <w:r w:rsidRPr="00AD5788">
        <w:rPr>
          <w:rFonts w:eastAsia="Times New Roman" w:cstheme="minorHAnsi"/>
          <w:b/>
          <w:bCs/>
          <w:sz w:val="21"/>
          <w:szCs w:val="21"/>
          <w:highlight w:val="yellow"/>
        </w:rPr>
        <w:t>, DO, FACOFP</w:t>
      </w:r>
      <w:r w:rsidRPr="00AD5788">
        <w:rPr>
          <w:rFonts w:eastAsia="Times New Roman" w:cstheme="minorHAnsi"/>
          <w:b/>
          <w:bCs/>
          <w:sz w:val="21"/>
          <w:szCs w:val="21"/>
          <w:highlight w:val="yellow"/>
        </w:rPr>
        <w:br/>
      </w:r>
      <w:r w:rsidRPr="00AD5788">
        <w:rPr>
          <w:rFonts w:eastAsia="Times New Roman" w:cstheme="minorHAnsi"/>
          <w:i/>
          <w:iCs/>
          <w:sz w:val="21"/>
          <w:szCs w:val="21"/>
          <w:highlight w:val="yellow"/>
        </w:rPr>
        <w:br/>
        <w:t>Transitional Care</w:t>
      </w:r>
      <w:r w:rsidRPr="00AD5788">
        <w:rPr>
          <w:rFonts w:eastAsia="Times New Roman" w:cstheme="minorHAnsi"/>
          <w:sz w:val="21"/>
          <w:szCs w:val="21"/>
          <w:highlight w:val="yellow"/>
        </w:rPr>
        <w:t> </w:t>
      </w:r>
      <w:r w:rsidRPr="00AD5788">
        <w:rPr>
          <w:rFonts w:eastAsia="Times New Roman" w:cstheme="minorHAnsi"/>
          <w:i/>
          <w:iCs/>
          <w:sz w:val="21"/>
          <w:szCs w:val="21"/>
          <w:highlight w:val="yellow"/>
        </w:rPr>
        <w:t>Scenarios in HF and the Appropriate Use of Emerging Pharmacologic Treatments</w:t>
      </w:r>
      <w:r w:rsidRPr="00AD5788">
        <w:rPr>
          <w:rFonts w:eastAsia="Times New Roman" w:cstheme="minorHAnsi"/>
          <w:i/>
          <w:iCs/>
          <w:sz w:val="21"/>
          <w:szCs w:val="21"/>
          <w:highlight w:val="yellow"/>
        </w:rPr>
        <w:br/>
      </w:r>
      <w:r w:rsidRPr="00AD5788">
        <w:rPr>
          <w:rFonts w:eastAsia="Times New Roman" w:cstheme="minorHAnsi"/>
          <w:b/>
          <w:bCs/>
          <w:i/>
          <w:iCs/>
          <w:sz w:val="21"/>
          <w:szCs w:val="21"/>
          <w:highlight w:val="yellow"/>
        </w:rPr>
        <w:br/>
      </w:r>
      <w:proofErr w:type="spellStart"/>
      <w:r w:rsidRPr="00AD5788">
        <w:rPr>
          <w:rFonts w:eastAsia="Times New Roman" w:cstheme="minorHAnsi"/>
          <w:b/>
          <w:bCs/>
          <w:i/>
          <w:iCs/>
          <w:sz w:val="21"/>
          <w:szCs w:val="21"/>
          <w:highlight w:val="yellow"/>
        </w:rPr>
        <w:t>Akshay</w:t>
      </w:r>
      <w:proofErr w:type="spellEnd"/>
      <w:r w:rsidRPr="00AD5788">
        <w:rPr>
          <w:rFonts w:eastAsia="Times New Roman" w:cstheme="minorHAnsi"/>
          <w:b/>
          <w:bCs/>
          <w:i/>
          <w:iCs/>
          <w:sz w:val="21"/>
          <w:szCs w:val="21"/>
          <w:highlight w:val="yellow"/>
        </w:rPr>
        <w:t xml:space="preserve"> S. Desai, MD, MPH</w:t>
      </w:r>
    </w:p>
    <w:p w14:paraId="73760C4B" w14:textId="77777777" w:rsidR="00AD5788" w:rsidRPr="00AD5788" w:rsidRDefault="00AD5788" w:rsidP="00AD5788">
      <w:pPr>
        <w:shd w:val="clear" w:color="auto" w:fill="FFFFFF"/>
        <w:spacing w:after="150" w:line="240" w:lineRule="auto"/>
        <w:rPr>
          <w:rFonts w:eastAsia="Times New Roman" w:cstheme="minorHAnsi"/>
          <w:sz w:val="21"/>
          <w:szCs w:val="21"/>
          <w:highlight w:val="yellow"/>
        </w:rPr>
      </w:pPr>
      <w:r w:rsidRPr="00AD5788">
        <w:rPr>
          <w:rFonts w:eastAsia="Times New Roman" w:cstheme="minorHAnsi"/>
          <w:i/>
          <w:iCs/>
          <w:sz w:val="21"/>
          <w:szCs w:val="21"/>
          <w:highlight w:val="yellow"/>
        </w:rPr>
        <w:t>A Collaborative Care Approach for Optimal HF Management (case-based presentation)</w:t>
      </w:r>
      <w:r w:rsidRPr="00AD5788">
        <w:rPr>
          <w:rFonts w:eastAsia="Times New Roman" w:cstheme="minorHAnsi"/>
          <w:i/>
          <w:iCs/>
          <w:sz w:val="21"/>
          <w:szCs w:val="21"/>
          <w:highlight w:val="yellow"/>
        </w:rPr>
        <w:br/>
      </w:r>
      <w:r w:rsidRPr="00AD5788">
        <w:rPr>
          <w:rFonts w:eastAsia="Times New Roman" w:cstheme="minorHAnsi"/>
          <w:b/>
          <w:bCs/>
          <w:sz w:val="21"/>
          <w:szCs w:val="21"/>
          <w:highlight w:val="yellow"/>
        </w:rPr>
        <w:br/>
        <w:t xml:space="preserve">Carman A. </w:t>
      </w:r>
      <w:proofErr w:type="spellStart"/>
      <w:r w:rsidRPr="00AD5788">
        <w:rPr>
          <w:rFonts w:eastAsia="Times New Roman" w:cstheme="minorHAnsi"/>
          <w:b/>
          <w:bCs/>
          <w:sz w:val="21"/>
          <w:szCs w:val="21"/>
          <w:highlight w:val="yellow"/>
        </w:rPr>
        <w:t>Ciervo</w:t>
      </w:r>
      <w:proofErr w:type="spellEnd"/>
      <w:r w:rsidRPr="00AD5788">
        <w:rPr>
          <w:rFonts w:eastAsia="Times New Roman" w:cstheme="minorHAnsi"/>
          <w:b/>
          <w:bCs/>
          <w:sz w:val="21"/>
          <w:szCs w:val="21"/>
          <w:highlight w:val="yellow"/>
        </w:rPr>
        <w:t>, DO, FACOFP</w:t>
      </w:r>
    </w:p>
    <w:p w14:paraId="12C29867" w14:textId="77777777" w:rsidR="00AD5788" w:rsidRPr="00AD5788" w:rsidRDefault="00AD5788" w:rsidP="00AD5788">
      <w:pPr>
        <w:shd w:val="clear" w:color="auto" w:fill="FFFFFF"/>
        <w:spacing w:after="150" w:line="240" w:lineRule="auto"/>
        <w:rPr>
          <w:rFonts w:eastAsia="Times New Roman" w:cstheme="minorHAnsi"/>
          <w:sz w:val="21"/>
          <w:szCs w:val="21"/>
          <w:highlight w:val="yellow"/>
        </w:rPr>
      </w:pPr>
      <w:r w:rsidRPr="00AD5788">
        <w:rPr>
          <w:rFonts w:eastAsia="Times New Roman" w:cstheme="minorHAnsi"/>
          <w:sz w:val="21"/>
          <w:szCs w:val="21"/>
          <w:highlight w:val="yellow"/>
        </w:rPr>
        <w:t>Faculty Idea Exchange</w:t>
      </w:r>
    </w:p>
    <w:p w14:paraId="4E5D6456" w14:textId="77777777" w:rsidR="00AD5788" w:rsidRPr="00AD5788" w:rsidRDefault="00AD5788" w:rsidP="00AD5788">
      <w:pPr>
        <w:shd w:val="clear" w:color="auto" w:fill="FFFFFF"/>
        <w:spacing w:after="150" w:line="240" w:lineRule="auto"/>
        <w:rPr>
          <w:rFonts w:eastAsia="Times New Roman" w:cstheme="minorHAnsi"/>
          <w:sz w:val="21"/>
          <w:szCs w:val="21"/>
        </w:rPr>
      </w:pPr>
      <w:r w:rsidRPr="00AD5788">
        <w:rPr>
          <w:rFonts w:eastAsia="Times New Roman" w:cstheme="minorHAnsi"/>
          <w:sz w:val="21"/>
          <w:szCs w:val="21"/>
          <w:highlight w:val="yellow"/>
        </w:rPr>
        <w:t>Summary of Key Takeaways</w:t>
      </w:r>
      <w:r w:rsidRPr="00AD5788">
        <w:rPr>
          <w:rFonts w:eastAsia="Times New Roman" w:cstheme="minorHAnsi"/>
          <w:sz w:val="21"/>
          <w:szCs w:val="21"/>
          <w:highlight w:val="yellow"/>
        </w:rPr>
        <w:br/>
      </w:r>
      <w:r w:rsidRPr="00AD5788">
        <w:rPr>
          <w:rFonts w:eastAsia="Times New Roman" w:cstheme="minorHAnsi"/>
          <w:b/>
          <w:bCs/>
          <w:sz w:val="21"/>
          <w:szCs w:val="21"/>
          <w:highlight w:val="yellow"/>
        </w:rPr>
        <w:t>Faculty Panel</w:t>
      </w:r>
    </w:p>
    <w:p w14:paraId="6FDF0491" w14:textId="77777777" w:rsidR="00AD5788" w:rsidRDefault="00AD5788" w:rsidP="00AD5788">
      <w:pPr>
        <w:shd w:val="clear" w:color="auto" w:fill="FFFFFF"/>
        <w:spacing w:after="150" w:line="240" w:lineRule="auto"/>
        <w:rPr>
          <w:rFonts w:eastAsia="Times New Roman" w:cstheme="minorHAnsi"/>
          <w:b/>
          <w:bCs/>
          <w:sz w:val="21"/>
          <w:szCs w:val="21"/>
        </w:rPr>
      </w:pPr>
    </w:p>
    <w:p w14:paraId="59BF19E6" w14:textId="77777777" w:rsidR="00AD5788" w:rsidRPr="00AD5788" w:rsidRDefault="00AD5788" w:rsidP="00AD5788">
      <w:pPr>
        <w:shd w:val="clear" w:color="auto" w:fill="FFFFFF"/>
        <w:spacing w:after="150" w:line="240" w:lineRule="auto"/>
        <w:rPr>
          <w:rFonts w:eastAsia="Times New Roman" w:cstheme="minorHAnsi"/>
          <w:sz w:val="21"/>
          <w:szCs w:val="21"/>
        </w:rPr>
      </w:pPr>
      <w:r w:rsidRPr="00AD5788">
        <w:rPr>
          <w:rFonts w:eastAsia="Times New Roman" w:cstheme="minorHAnsi"/>
          <w:b/>
          <w:bCs/>
          <w:sz w:val="21"/>
          <w:szCs w:val="21"/>
        </w:rPr>
        <w:t>Instructional Format:</w:t>
      </w:r>
      <w:r w:rsidRPr="00AD5788">
        <w:rPr>
          <w:rFonts w:eastAsia="Times New Roman" w:cstheme="minorHAnsi"/>
          <w:b/>
          <w:bCs/>
          <w:sz w:val="21"/>
          <w:szCs w:val="21"/>
        </w:rPr>
        <w:br/>
      </w:r>
      <w:r w:rsidRPr="00AD5788">
        <w:rPr>
          <w:rFonts w:eastAsia="Times New Roman" w:cstheme="minorHAnsi"/>
          <w:sz w:val="21"/>
          <w:szCs w:val="21"/>
          <w:highlight w:val="yellow"/>
        </w:rPr>
        <w:t>Online on-demand webcast consisting of slides and audio.</w:t>
      </w:r>
    </w:p>
    <w:p w14:paraId="135163B3" w14:textId="77777777" w:rsidR="00AD5788" w:rsidRPr="00AD5788" w:rsidRDefault="00AD5788" w:rsidP="00AD5788">
      <w:pPr>
        <w:shd w:val="clear" w:color="auto" w:fill="FFFFFF"/>
        <w:spacing w:after="150" w:line="240" w:lineRule="auto"/>
        <w:rPr>
          <w:rFonts w:eastAsia="Times New Roman" w:cstheme="minorHAnsi"/>
          <w:sz w:val="21"/>
          <w:szCs w:val="21"/>
        </w:rPr>
      </w:pPr>
      <w:r w:rsidRPr="00AD5788">
        <w:rPr>
          <w:rFonts w:eastAsia="Times New Roman" w:cstheme="minorHAnsi"/>
          <w:b/>
          <w:bCs/>
          <w:sz w:val="21"/>
          <w:szCs w:val="21"/>
        </w:rPr>
        <w:t>Method of Participation:</w:t>
      </w:r>
      <w:r w:rsidRPr="00AD5788">
        <w:rPr>
          <w:rFonts w:eastAsia="Times New Roman" w:cstheme="minorHAnsi"/>
          <w:b/>
          <w:bCs/>
          <w:sz w:val="21"/>
          <w:szCs w:val="21"/>
        </w:rPr>
        <w:br/>
      </w:r>
      <w:r w:rsidRPr="00034036">
        <w:rPr>
          <w:rFonts w:eastAsia="Times New Roman" w:cstheme="minorHAnsi"/>
          <w:sz w:val="21"/>
          <w:szCs w:val="21"/>
          <w:highlight w:val="yellow"/>
        </w:rPr>
        <w:t>There are no fees for participating in this CME activity</w:t>
      </w:r>
      <w:r w:rsidRPr="00AD5788">
        <w:rPr>
          <w:rFonts w:eastAsia="Times New Roman" w:cstheme="minorHAnsi"/>
          <w:sz w:val="21"/>
          <w:szCs w:val="21"/>
        </w:rPr>
        <w:t>. To participate in the activity, physicians will be required to take the following steps:</w:t>
      </w:r>
    </w:p>
    <w:p w14:paraId="346A8705" w14:textId="77777777" w:rsidR="00AD5788" w:rsidRPr="00AD5788" w:rsidRDefault="00AD5788" w:rsidP="00AD5788">
      <w:pPr>
        <w:numPr>
          <w:ilvl w:val="0"/>
          <w:numId w:val="2"/>
        </w:numPr>
        <w:shd w:val="clear" w:color="auto" w:fill="FFFFFF"/>
        <w:spacing w:before="100" w:beforeAutospacing="1" w:after="100" w:afterAutospacing="1" w:line="300" w:lineRule="atLeast"/>
        <w:ind w:left="375"/>
        <w:rPr>
          <w:rFonts w:eastAsia="Times New Roman" w:cstheme="minorHAnsi"/>
          <w:sz w:val="21"/>
          <w:szCs w:val="21"/>
          <w:highlight w:val="yellow"/>
        </w:rPr>
      </w:pPr>
      <w:r w:rsidRPr="00AD5788">
        <w:rPr>
          <w:rFonts w:eastAsia="Times New Roman" w:cstheme="minorHAnsi"/>
          <w:sz w:val="21"/>
          <w:szCs w:val="21"/>
          <w:highlight w:val="yellow"/>
        </w:rPr>
        <w:t>Read the learning objectives and faculty disclosures.</w:t>
      </w:r>
    </w:p>
    <w:p w14:paraId="75CA9F1C" w14:textId="77777777" w:rsidR="00AD5788" w:rsidRPr="00AD5788" w:rsidRDefault="00AD5788" w:rsidP="00AD5788">
      <w:pPr>
        <w:numPr>
          <w:ilvl w:val="0"/>
          <w:numId w:val="2"/>
        </w:numPr>
        <w:shd w:val="clear" w:color="auto" w:fill="FFFFFF"/>
        <w:spacing w:before="100" w:beforeAutospacing="1" w:after="100" w:afterAutospacing="1" w:line="300" w:lineRule="atLeast"/>
        <w:ind w:left="375"/>
        <w:rPr>
          <w:rFonts w:eastAsia="Times New Roman" w:cstheme="minorHAnsi"/>
          <w:sz w:val="21"/>
          <w:szCs w:val="21"/>
          <w:highlight w:val="yellow"/>
        </w:rPr>
      </w:pPr>
      <w:r w:rsidRPr="00AD5788">
        <w:rPr>
          <w:rFonts w:eastAsia="Times New Roman" w:cstheme="minorHAnsi"/>
          <w:sz w:val="21"/>
          <w:szCs w:val="21"/>
          <w:highlight w:val="yellow"/>
        </w:rPr>
        <w:t>Participate in the activity.</w:t>
      </w:r>
    </w:p>
    <w:p w14:paraId="7946DC45" w14:textId="77777777" w:rsidR="00AD5788" w:rsidRPr="00AD5788" w:rsidRDefault="00AD5788" w:rsidP="00AD5788">
      <w:pPr>
        <w:numPr>
          <w:ilvl w:val="0"/>
          <w:numId w:val="2"/>
        </w:numPr>
        <w:shd w:val="clear" w:color="auto" w:fill="FFFFFF"/>
        <w:spacing w:before="100" w:beforeAutospacing="1" w:after="100" w:afterAutospacing="1" w:line="300" w:lineRule="atLeast"/>
        <w:ind w:left="375"/>
        <w:rPr>
          <w:rFonts w:eastAsia="Times New Roman" w:cstheme="minorHAnsi"/>
          <w:sz w:val="21"/>
          <w:szCs w:val="21"/>
          <w:highlight w:val="yellow"/>
        </w:rPr>
      </w:pPr>
      <w:r w:rsidRPr="00AD5788">
        <w:rPr>
          <w:rFonts w:eastAsia="Times New Roman" w:cstheme="minorHAnsi"/>
          <w:sz w:val="21"/>
          <w:szCs w:val="21"/>
          <w:highlight w:val="yellow"/>
        </w:rPr>
        <w:t xml:space="preserve">Complete the pre-test, </w:t>
      </w:r>
      <w:proofErr w:type="gramStart"/>
      <w:r w:rsidRPr="00AD5788">
        <w:rPr>
          <w:rFonts w:eastAsia="Times New Roman" w:cstheme="minorHAnsi"/>
          <w:sz w:val="21"/>
          <w:szCs w:val="21"/>
          <w:highlight w:val="yellow"/>
        </w:rPr>
        <w:t>post-test</w:t>
      </w:r>
      <w:proofErr w:type="gramEnd"/>
      <w:r w:rsidRPr="00AD5788">
        <w:rPr>
          <w:rFonts w:eastAsia="Times New Roman" w:cstheme="minorHAnsi"/>
          <w:sz w:val="21"/>
          <w:szCs w:val="21"/>
          <w:highlight w:val="yellow"/>
        </w:rPr>
        <w:t xml:space="preserve"> and activity evaluation.</w:t>
      </w:r>
    </w:p>
    <w:p w14:paraId="2E7D40DF" w14:textId="77777777" w:rsidR="00AD5788" w:rsidRPr="00AD5788" w:rsidRDefault="00AD5788" w:rsidP="00AD5788">
      <w:pPr>
        <w:numPr>
          <w:ilvl w:val="0"/>
          <w:numId w:val="2"/>
        </w:numPr>
        <w:shd w:val="clear" w:color="auto" w:fill="FFFFFF"/>
        <w:spacing w:before="100" w:beforeAutospacing="1" w:after="100" w:afterAutospacing="1" w:line="300" w:lineRule="atLeast"/>
        <w:ind w:left="375"/>
        <w:rPr>
          <w:rFonts w:eastAsia="Times New Roman" w:cstheme="minorHAnsi"/>
          <w:sz w:val="21"/>
          <w:szCs w:val="21"/>
          <w:highlight w:val="yellow"/>
        </w:rPr>
      </w:pPr>
      <w:r w:rsidRPr="00AD5788">
        <w:rPr>
          <w:rFonts w:eastAsia="Times New Roman" w:cstheme="minorHAnsi"/>
          <w:sz w:val="21"/>
          <w:szCs w:val="21"/>
          <w:highlight w:val="yellow"/>
        </w:rPr>
        <w:t>Participants who successfully complete the evaluation and the post-test (scoring 70% or higher in a maximum of 3 attempts) will receive Category 1-B CME credit or </w:t>
      </w:r>
      <w:r w:rsidRPr="00AD5788">
        <w:rPr>
          <w:rFonts w:eastAsia="Times New Roman" w:cstheme="minorHAnsi"/>
          <w:i/>
          <w:iCs/>
          <w:sz w:val="21"/>
          <w:szCs w:val="21"/>
          <w:highlight w:val="yellow"/>
        </w:rPr>
        <w:t>AMA PRA Category 1 Credits</w:t>
      </w:r>
      <w:r w:rsidRPr="00AD5788">
        <w:rPr>
          <w:rFonts w:eastAsia="Times New Roman" w:cstheme="minorHAnsi"/>
          <w:sz w:val="21"/>
          <w:szCs w:val="21"/>
          <w:highlight w:val="yellow"/>
        </w:rPr>
        <w:t>™.</w:t>
      </w:r>
    </w:p>
    <w:p w14:paraId="162E83F4" w14:textId="77777777" w:rsidR="00AD5788" w:rsidRPr="00AD5788" w:rsidRDefault="00AD5788" w:rsidP="00AD5788">
      <w:pPr>
        <w:shd w:val="clear" w:color="auto" w:fill="FFFFFF"/>
        <w:spacing w:after="150" w:line="240" w:lineRule="auto"/>
        <w:rPr>
          <w:rFonts w:eastAsia="Times New Roman" w:cstheme="minorHAnsi"/>
          <w:sz w:val="21"/>
          <w:szCs w:val="21"/>
        </w:rPr>
      </w:pPr>
      <w:r w:rsidRPr="00AD5788">
        <w:rPr>
          <w:rFonts w:eastAsia="Times New Roman" w:cstheme="minorHAnsi"/>
          <w:b/>
          <w:bCs/>
          <w:sz w:val="21"/>
          <w:szCs w:val="21"/>
        </w:rPr>
        <w:t>Disclosures:</w:t>
      </w:r>
    </w:p>
    <w:p w14:paraId="1188F26C" w14:textId="079A3330" w:rsidR="00AD5788" w:rsidRPr="00AD5788" w:rsidRDefault="00AD5788" w:rsidP="00AD5788">
      <w:pPr>
        <w:shd w:val="clear" w:color="auto" w:fill="FFFFFF"/>
        <w:spacing w:after="150" w:line="240" w:lineRule="auto"/>
        <w:rPr>
          <w:rFonts w:eastAsia="Times New Roman" w:cstheme="minorHAnsi"/>
          <w:sz w:val="21"/>
          <w:szCs w:val="21"/>
        </w:rPr>
      </w:pPr>
      <w:r w:rsidRPr="00AD5788">
        <w:rPr>
          <w:rFonts w:eastAsia="Times New Roman" w:cstheme="minorHAnsi"/>
          <w:sz w:val="21"/>
          <w:szCs w:val="21"/>
        </w:rPr>
        <w:t xml:space="preserve">The American Osteopathic Association has implemented a policy to comply with the current Accreditation Council for Continuing Medical Education (ACCME) </w:t>
      </w:r>
      <w:r w:rsidR="00766917">
        <w:t xml:space="preserve">Standards for Integrity and Independence in Accredited Continuing Education </w:t>
      </w:r>
      <w:r w:rsidRPr="00AD5788">
        <w:rPr>
          <w:rFonts w:eastAsia="Times New Roman" w:cstheme="minorHAnsi"/>
          <w:sz w:val="21"/>
          <w:szCs w:val="21"/>
        </w:rPr>
        <w:t xml:space="preserve">requiring </w:t>
      </w:r>
      <w:r w:rsidR="00766917">
        <w:rPr>
          <w:rFonts w:eastAsia="Times New Roman" w:cstheme="minorHAnsi"/>
          <w:sz w:val="21"/>
          <w:szCs w:val="21"/>
        </w:rPr>
        <w:t>mitigation</w:t>
      </w:r>
      <w:r w:rsidRPr="00AD5788">
        <w:rPr>
          <w:rFonts w:eastAsia="Times New Roman" w:cstheme="minorHAnsi"/>
          <w:sz w:val="21"/>
          <w:szCs w:val="21"/>
        </w:rPr>
        <w:t xml:space="preserve"> of all conflicts of interest. Faculty declaring a relevant commercial interest must be identified in the activity syllabus and/or program.</w:t>
      </w:r>
    </w:p>
    <w:p w14:paraId="4DC8D759" w14:textId="1D297F3E" w:rsidR="00AD5788" w:rsidRPr="00AD5788" w:rsidRDefault="00AD5788" w:rsidP="00AD5788">
      <w:pPr>
        <w:shd w:val="clear" w:color="auto" w:fill="FFFFFF"/>
        <w:spacing w:after="150" w:line="240" w:lineRule="auto"/>
        <w:rPr>
          <w:rFonts w:eastAsia="Times New Roman" w:cstheme="minorHAnsi"/>
          <w:sz w:val="21"/>
          <w:szCs w:val="21"/>
        </w:rPr>
      </w:pPr>
      <w:r w:rsidRPr="00AD5788">
        <w:rPr>
          <w:rFonts w:eastAsia="Times New Roman" w:cstheme="minorHAnsi"/>
          <w:sz w:val="21"/>
          <w:szCs w:val="21"/>
        </w:rPr>
        <w:t xml:space="preserve">In accordance with disclosure policies of AOA and the ACCME, every effort has been made to ensure all CME activities are balanced, independent, objective, and scientifically rigorous. These policies include complying </w:t>
      </w:r>
      <w:r w:rsidRPr="00AD5788">
        <w:rPr>
          <w:rFonts w:eastAsia="Times New Roman" w:cstheme="minorHAnsi"/>
          <w:sz w:val="21"/>
          <w:szCs w:val="21"/>
        </w:rPr>
        <w:lastRenderedPageBreak/>
        <w:t xml:space="preserve">with ACCME’s </w:t>
      </w:r>
      <w:r w:rsidR="00766917">
        <w:t xml:space="preserve">Standards for Integrity and Independence in Accredited Continuing Education </w:t>
      </w:r>
      <w:r w:rsidRPr="00AD5788">
        <w:rPr>
          <w:rFonts w:eastAsia="Times New Roman" w:cstheme="minorHAnsi"/>
          <w:sz w:val="21"/>
          <w:szCs w:val="21"/>
        </w:rPr>
        <w:t xml:space="preserve">and </w:t>
      </w:r>
      <w:r w:rsidR="00766917" w:rsidRPr="009D238E">
        <w:rPr>
          <w:rFonts w:eastAsia="Times New Roman" w:cstheme="minorHAnsi"/>
          <w:b/>
          <w:bCs/>
          <w:sz w:val="21"/>
          <w:szCs w:val="21"/>
        </w:rPr>
        <w:t xml:space="preserve">mitigating </w:t>
      </w:r>
      <w:r w:rsidRPr="009D238E">
        <w:rPr>
          <w:rFonts w:eastAsia="Times New Roman" w:cstheme="minorHAnsi"/>
          <w:b/>
          <w:bCs/>
          <w:sz w:val="21"/>
          <w:szCs w:val="21"/>
        </w:rPr>
        <w:t xml:space="preserve">all </w:t>
      </w:r>
      <w:r w:rsidR="00766917" w:rsidRPr="009D238E">
        <w:rPr>
          <w:rFonts w:eastAsia="Times New Roman" w:cstheme="minorHAnsi"/>
          <w:b/>
          <w:bCs/>
          <w:sz w:val="21"/>
          <w:szCs w:val="21"/>
        </w:rPr>
        <w:t>relevant</w:t>
      </w:r>
      <w:r w:rsidRPr="009D238E">
        <w:rPr>
          <w:rFonts w:eastAsia="Times New Roman" w:cstheme="minorHAnsi"/>
          <w:b/>
          <w:bCs/>
          <w:sz w:val="21"/>
          <w:szCs w:val="21"/>
        </w:rPr>
        <w:t xml:space="preserve"> conflicts of interest for all individuals in control of content</w:t>
      </w:r>
      <w:r w:rsidRPr="00AD5788">
        <w:rPr>
          <w:rFonts w:eastAsia="Times New Roman" w:cstheme="minorHAnsi"/>
          <w:sz w:val="21"/>
          <w:szCs w:val="21"/>
        </w:rPr>
        <w:t>.  </w:t>
      </w:r>
    </w:p>
    <w:p w14:paraId="2CFA616D" w14:textId="77777777" w:rsidR="00AD5788" w:rsidRPr="00AD5788" w:rsidRDefault="00AD5788" w:rsidP="00AD5788">
      <w:pPr>
        <w:shd w:val="clear" w:color="auto" w:fill="FFFFFF"/>
        <w:spacing w:after="150" w:line="240" w:lineRule="auto"/>
        <w:rPr>
          <w:rFonts w:eastAsia="Times New Roman" w:cstheme="minorHAnsi"/>
          <w:sz w:val="21"/>
          <w:szCs w:val="21"/>
        </w:rPr>
      </w:pPr>
      <w:r w:rsidRPr="00AD5788">
        <w:rPr>
          <w:rFonts w:eastAsia="Times New Roman" w:cstheme="minorHAnsi"/>
          <w:sz w:val="21"/>
          <w:szCs w:val="21"/>
        </w:rPr>
        <w:t xml:space="preserve">The following faculty, presenters and planning committee members have indicated that they have </w:t>
      </w:r>
      <w:r w:rsidRPr="00AD5788">
        <w:rPr>
          <w:rFonts w:eastAsia="Times New Roman" w:cstheme="minorHAnsi"/>
          <w:sz w:val="21"/>
          <w:szCs w:val="21"/>
          <w:u w:val="single"/>
        </w:rPr>
        <w:t>no relationship</w:t>
      </w:r>
      <w:r>
        <w:rPr>
          <w:rFonts w:eastAsia="Times New Roman" w:cstheme="minorHAnsi"/>
          <w:sz w:val="21"/>
          <w:szCs w:val="21"/>
        </w:rPr>
        <w:t>(s)</w:t>
      </w:r>
      <w:r w:rsidRPr="00AD5788">
        <w:rPr>
          <w:rFonts w:eastAsia="Times New Roman" w:cstheme="minorHAnsi"/>
          <w:sz w:val="21"/>
          <w:szCs w:val="21"/>
        </w:rPr>
        <w:t xml:space="preserve"> that could be perceived as a potential conflict of interest:</w:t>
      </w:r>
    </w:p>
    <w:tbl>
      <w:tblPr>
        <w:tblW w:w="99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31"/>
        <w:gridCol w:w="1287"/>
        <w:gridCol w:w="5472"/>
      </w:tblGrid>
      <w:tr w:rsidR="00AD5788" w:rsidRPr="00AD5788" w14:paraId="59043E36" w14:textId="77777777" w:rsidTr="00AD5788">
        <w:tc>
          <w:tcPr>
            <w:tcW w:w="3225" w:type="dxa"/>
            <w:tcBorders>
              <w:top w:val="outset" w:sz="6" w:space="0" w:color="auto"/>
              <w:left w:val="outset" w:sz="6" w:space="0" w:color="auto"/>
              <w:bottom w:val="outset" w:sz="6" w:space="0" w:color="auto"/>
              <w:right w:val="outset" w:sz="6" w:space="0" w:color="auto"/>
            </w:tcBorders>
            <w:shd w:val="clear" w:color="auto" w:fill="FFFFFF"/>
            <w:hideMark/>
          </w:tcPr>
          <w:p w14:paraId="1C786240" w14:textId="77777777" w:rsidR="00AD5788" w:rsidRPr="00AD5788" w:rsidRDefault="00AD5788" w:rsidP="00AD5788">
            <w:pPr>
              <w:spacing w:after="150" w:line="240" w:lineRule="auto"/>
              <w:rPr>
                <w:rFonts w:eastAsia="Times New Roman" w:cstheme="minorHAnsi"/>
                <w:sz w:val="21"/>
                <w:szCs w:val="21"/>
              </w:rPr>
            </w:pPr>
            <w:r w:rsidRPr="00AD5788">
              <w:rPr>
                <w:rFonts w:eastAsia="Times New Roman" w:cstheme="minorHAnsi"/>
                <w:b/>
                <w:bCs/>
                <w:i/>
                <w:iCs/>
                <w:sz w:val="21"/>
                <w:szCs w:val="21"/>
              </w:rPr>
              <w:t>Name of Faculty or Presenter</w:t>
            </w:r>
          </w:p>
        </w:tc>
        <w:tc>
          <w:tcPr>
            <w:tcW w:w="1290" w:type="dxa"/>
            <w:tcBorders>
              <w:top w:val="outset" w:sz="6" w:space="0" w:color="auto"/>
              <w:left w:val="outset" w:sz="6" w:space="0" w:color="auto"/>
              <w:bottom w:val="outset" w:sz="6" w:space="0" w:color="auto"/>
              <w:right w:val="outset" w:sz="6" w:space="0" w:color="auto"/>
            </w:tcBorders>
            <w:shd w:val="clear" w:color="auto" w:fill="FFFFFF"/>
            <w:hideMark/>
          </w:tcPr>
          <w:p w14:paraId="515DE7F2" w14:textId="77777777" w:rsidR="00AD5788" w:rsidRPr="00AD5788" w:rsidRDefault="00AD5788" w:rsidP="00AD5788">
            <w:pPr>
              <w:spacing w:after="150" w:line="240" w:lineRule="auto"/>
              <w:rPr>
                <w:rFonts w:eastAsia="Times New Roman" w:cstheme="minorHAnsi"/>
                <w:sz w:val="21"/>
                <w:szCs w:val="21"/>
              </w:rPr>
            </w:pPr>
            <w:r w:rsidRPr="00AD5788">
              <w:rPr>
                <w:rFonts w:eastAsia="Times New Roman" w:cstheme="minorHAnsi"/>
                <w:b/>
                <w:bCs/>
                <w:i/>
                <w:iCs/>
                <w:sz w:val="21"/>
                <w:szCs w:val="21"/>
              </w:rPr>
              <w:t>Role(s)</w:t>
            </w:r>
          </w:p>
        </w:tc>
        <w:tc>
          <w:tcPr>
            <w:tcW w:w="5475" w:type="dxa"/>
            <w:tcBorders>
              <w:top w:val="outset" w:sz="6" w:space="0" w:color="auto"/>
              <w:left w:val="outset" w:sz="6" w:space="0" w:color="auto"/>
              <w:bottom w:val="outset" w:sz="6" w:space="0" w:color="auto"/>
              <w:right w:val="outset" w:sz="6" w:space="0" w:color="auto"/>
            </w:tcBorders>
            <w:shd w:val="clear" w:color="auto" w:fill="FFFFFF"/>
            <w:hideMark/>
          </w:tcPr>
          <w:p w14:paraId="1A981FAF" w14:textId="77777777" w:rsidR="00AD5788" w:rsidRPr="00AD5788" w:rsidRDefault="00AD5788" w:rsidP="00AD5788">
            <w:pPr>
              <w:spacing w:after="150" w:line="240" w:lineRule="auto"/>
              <w:rPr>
                <w:rFonts w:eastAsia="Times New Roman" w:cstheme="minorHAnsi"/>
                <w:sz w:val="21"/>
                <w:szCs w:val="21"/>
              </w:rPr>
            </w:pPr>
            <w:r w:rsidRPr="00AD5788">
              <w:rPr>
                <w:rFonts w:eastAsia="Times New Roman" w:cstheme="minorHAnsi"/>
                <w:b/>
                <w:bCs/>
                <w:i/>
                <w:iCs/>
                <w:sz w:val="21"/>
                <w:szCs w:val="21"/>
              </w:rPr>
              <w:t>Reported Financial Relationship</w:t>
            </w:r>
            <w:r>
              <w:rPr>
                <w:rFonts w:eastAsia="Times New Roman" w:cstheme="minorHAnsi"/>
                <w:b/>
                <w:bCs/>
                <w:i/>
                <w:iCs/>
                <w:sz w:val="21"/>
                <w:szCs w:val="21"/>
              </w:rPr>
              <w:t xml:space="preserve"> </w:t>
            </w:r>
            <w:r w:rsidRPr="00AD5788">
              <w:rPr>
                <w:rFonts w:eastAsia="Times New Roman" w:cstheme="minorHAnsi"/>
                <w:bCs/>
                <w:i/>
                <w:iCs/>
                <w:sz w:val="21"/>
                <w:szCs w:val="21"/>
              </w:rPr>
              <w:t>(Name of Commercial Interest and Nature of Relationship)</w:t>
            </w:r>
          </w:p>
        </w:tc>
      </w:tr>
      <w:tr w:rsidR="00AD5788" w:rsidRPr="00AD5788" w14:paraId="20F3C50E" w14:textId="77777777" w:rsidTr="00AD5788">
        <w:tc>
          <w:tcPr>
            <w:tcW w:w="3240" w:type="dxa"/>
            <w:tcBorders>
              <w:top w:val="outset" w:sz="6" w:space="0" w:color="auto"/>
              <w:left w:val="outset" w:sz="6" w:space="0" w:color="auto"/>
              <w:bottom w:val="outset" w:sz="6" w:space="0" w:color="auto"/>
              <w:right w:val="outset" w:sz="6" w:space="0" w:color="auto"/>
            </w:tcBorders>
            <w:shd w:val="clear" w:color="auto" w:fill="FFFFFF"/>
          </w:tcPr>
          <w:p w14:paraId="12D37BF4" w14:textId="77777777" w:rsidR="00AD5788" w:rsidRPr="00AD5788" w:rsidRDefault="00AD5788" w:rsidP="00AD5788">
            <w:pPr>
              <w:spacing w:after="150" w:line="240" w:lineRule="auto"/>
              <w:rPr>
                <w:rFonts w:eastAsia="Times New Roman" w:cstheme="minorHAnsi"/>
                <w:sz w:val="21"/>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56470D6A" w14:textId="77777777" w:rsidR="00AD5788" w:rsidRPr="00AD5788" w:rsidRDefault="00AD5788" w:rsidP="00AD5788">
            <w:pPr>
              <w:spacing w:after="150" w:line="240" w:lineRule="auto"/>
              <w:rPr>
                <w:rFonts w:eastAsia="Times New Roman" w:cstheme="minorHAnsi"/>
                <w:sz w:val="21"/>
                <w:szCs w:val="21"/>
              </w:rPr>
            </w:pPr>
          </w:p>
        </w:tc>
        <w:tc>
          <w:tcPr>
            <w:tcW w:w="5490" w:type="dxa"/>
            <w:tcBorders>
              <w:top w:val="outset" w:sz="6" w:space="0" w:color="auto"/>
              <w:left w:val="outset" w:sz="6" w:space="0" w:color="auto"/>
              <w:bottom w:val="outset" w:sz="6" w:space="0" w:color="auto"/>
              <w:right w:val="outset" w:sz="6" w:space="0" w:color="auto"/>
            </w:tcBorders>
            <w:shd w:val="clear" w:color="auto" w:fill="FFFFFF"/>
          </w:tcPr>
          <w:p w14:paraId="7EDA8A2C" w14:textId="77777777" w:rsidR="00AD5788" w:rsidRPr="00AD5788" w:rsidRDefault="00AD5788" w:rsidP="00AD5788">
            <w:pPr>
              <w:spacing w:after="150" w:line="240" w:lineRule="auto"/>
              <w:rPr>
                <w:rFonts w:eastAsia="Times New Roman" w:cstheme="minorHAnsi"/>
                <w:sz w:val="21"/>
                <w:szCs w:val="21"/>
              </w:rPr>
            </w:pPr>
          </w:p>
        </w:tc>
      </w:tr>
      <w:tr w:rsidR="00AD5788" w:rsidRPr="00AD5788" w14:paraId="36529C77" w14:textId="77777777" w:rsidTr="00AD5788">
        <w:tc>
          <w:tcPr>
            <w:tcW w:w="3240" w:type="dxa"/>
            <w:tcBorders>
              <w:top w:val="outset" w:sz="6" w:space="0" w:color="auto"/>
              <w:left w:val="outset" w:sz="6" w:space="0" w:color="auto"/>
              <w:bottom w:val="outset" w:sz="6" w:space="0" w:color="auto"/>
              <w:right w:val="outset" w:sz="6" w:space="0" w:color="auto"/>
            </w:tcBorders>
            <w:shd w:val="clear" w:color="auto" w:fill="FFFFFF"/>
          </w:tcPr>
          <w:p w14:paraId="42DB625B" w14:textId="77777777" w:rsidR="00AD5788" w:rsidRPr="00AD5788" w:rsidRDefault="00AD5788" w:rsidP="00AD5788">
            <w:pPr>
              <w:spacing w:after="150" w:line="240" w:lineRule="auto"/>
              <w:rPr>
                <w:rFonts w:eastAsia="Times New Roman" w:cstheme="minorHAnsi"/>
                <w:sz w:val="21"/>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755926B4" w14:textId="77777777" w:rsidR="00AD5788" w:rsidRPr="00AD5788" w:rsidRDefault="00AD5788" w:rsidP="00AD5788">
            <w:pPr>
              <w:spacing w:after="150" w:line="240" w:lineRule="auto"/>
              <w:rPr>
                <w:rFonts w:eastAsia="Times New Roman" w:cstheme="minorHAnsi"/>
                <w:sz w:val="21"/>
                <w:szCs w:val="21"/>
              </w:rPr>
            </w:pPr>
          </w:p>
        </w:tc>
        <w:tc>
          <w:tcPr>
            <w:tcW w:w="5490" w:type="dxa"/>
            <w:tcBorders>
              <w:top w:val="outset" w:sz="6" w:space="0" w:color="auto"/>
              <w:left w:val="outset" w:sz="6" w:space="0" w:color="auto"/>
              <w:bottom w:val="outset" w:sz="6" w:space="0" w:color="auto"/>
              <w:right w:val="outset" w:sz="6" w:space="0" w:color="auto"/>
            </w:tcBorders>
            <w:shd w:val="clear" w:color="auto" w:fill="FFFFFF"/>
          </w:tcPr>
          <w:p w14:paraId="782ECBF0" w14:textId="77777777" w:rsidR="00AD5788" w:rsidRPr="00AD5788" w:rsidRDefault="00AD5788" w:rsidP="00AD5788">
            <w:pPr>
              <w:spacing w:after="150" w:line="240" w:lineRule="auto"/>
              <w:rPr>
                <w:rFonts w:eastAsia="Times New Roman" w:cstheme="minorHAnsi"/>
                <w:sz w:val="21"/>
                <w:szCs w:val="21"/>
              </w:rPr>
            </w:pPr>
          </w:p>
        </w:tc>
      </w:tr>
      <w:tr w:rsidR="00AD5788" w:rsidRPr="00AD5788" w14:paraId="2DA6ACDF" w14:textId="77777777" w:rsidTr="00AD5788">
        <w:tc>
          <w:tcPr>
            <w:tcW w:w="3225" w:type="dxa"/>
            <w:tcBorders>
              <w:top w:val="outset" w:sz="6" w:space="0" w:color="auto"/>
              <w:left w:val="outset" w:sz="6" w:space="0" w:color="auto"/>
              <w:bottom w:val="outset" w:sz="6" w:space="0" w:color="auto"/>
              <w:right w:val="outset" w:sz="6" w:space="0" w:color="auto"/>
            </w:tcBorders>
            <w:shd w:val="clear" w:color="auto" w:fill="FFFFFF"/>
          </w:tcPr>
          <w:p w14:paraId="1A4958D3" w14:textId="77777777" w:rsidR="00AD5788" w:rsidRPr="00AD5788" w:rsidRDefault="00AD5788" w:rsidP="00AD5788">
            <w:pPr>
              <w:spacing w:after="150" w:line="240" w:lineRule="auto"/>
              <w:rPr>
                <w:rFonts w:eastAsia="Times New Roman" w:cstheme="minorHAnsi"/>
                <w:sz w:val="21"/>
                <w:szCs w:val="21"/>
              </w:rPr>
            </w:pPr>
          </w:p>
        </w:tc>
        <w:tc>
          <w:tcPr>
            <w:tcW w:w="1290" w:type="dxa"/>
            <w:tcBorders>
              <w:top w:val="outset" w:sz="6" w:space="0" w:color="auto"/>
              <w:left w:val="outset" w:sz="6" w:space="0" w:color="auto"/>
              <w:bottom w:val="outset" w:sz="6" w:space="0" w:color="auto"/>
              <w:right w:val="outset" w:sz="6" w:space="0" w:color="auto"/>
            </w:tcBorders>
            <w:shd w:val="clear" w:color="auto" w:fill="FFFFFF"/>
          </w:tcPr>
          <w:p w14:paraId="0AE15718" w14:textId="77777777" w:rsidR="00AD5788" w:rsidRPr="00AD5788" w:rsidRDefault="00AD5788" w:rsidP="00AD5788">
            <w:pPr>
              <w:spacing w:after="150" w:line="240" w:lineRule="auto"/>
              <w:rPr>
                <w:rFonts w:eastAsia="Times New Roman" w:cstheme="minorHAnsi"/>
                <w:sz w:val="21"/>
                <w:szCs w:val="21"/>
              </w:rPr>
            </w:pPr>
          </w:p>
        </w:tc>
        <w:tc>
          <w:tcPr>
            <w:tcW w:w="5475" w:type="dxa"/>
            <w:tcBorders>
              <w:top w:val="outset" w:sz="6" w:space="0" w:color="auto"/>
              <w:left w:val="outset" w:sz="6" w:space="0" w:color="auto"/>
              <w:bottom w:val="outset" w:sz="6" w:space="0" w:color="auto"/>
              <w:right w:val="outset" w:sz="6" w:space="0" w:color="auto"/>
            </w:tcBorders>
            <w:shd w:val="clear" w:color="auto" w:fill="FFFFFF"/>
          </w:tcPr>
          <w:p w14:paraId="01D6EF4A" w14:textId="77777777" w:rsidR="00AD5788" w:rsidRPr="00AD5788" w:rsidRDefault="00AD5788" w:rsidP="00AD5788">
            <w:pPr>
              <w:spacing w:after="150" w:line="240" w:lineRule="auto"/>
              <w:rPr>
                <w:rFonts w:eastAsia="Times New Roman" w:cstheme="minorHAnsi"/>
                <w:sz w:val="21"/>
                <w:szCs w:val="21"/>
              </w:rPr>
            </w:pPr>
          </w:p>
        </w:tc>
      </w:tr>
      <w:tr w:rsidR="00AD5788" w:rsidRPr="00AD5788" w14:paraId="02ACCC7F" w14:textId="77777777" w:rsidTr="00AD5788">
        <w:tc>
          <w:tcPr>
            <w:tcW w:w="3225" w:type="dxa"/>
            <w:tcBorders>
              <w:top w:val="outset" w:sz="6" w:space="0" w:color="auto"/>
              <w:left w:val="outset" w:sz="6" w:space="0" w:color="auto"/>
              <w:bottom w:val="outset" w:sz="6" w:space="0" w:color="auto"/>
              <w:right w:val="outset" w:sz="6" w:space="0" w:color="auto"/>
            </w:tcBorders>
            <w:shd w:val="clear" w:color="auto" w:fill="FFFFFF"/>
          </w:tcPr>
          <w:p w14:paraId="6E42A953" w14:textId="77777777" w:rsidR="00AD5788" w:rsidRPr="00AD5788" w:rsidRDefault="00AD5788" w:rsidP="00AD5788">
            <w:pPr>
              <w:spacing w:after="150" w:line="240" w:lineRule="auto"/>
              <w:rPr>
                <w:rFonts w:eastAsia="Times New Roman" w:cstheme="minorHAnsi"/>
                <w:sz w:val="21"/>
                <w:szCs w:val="21"/>
              </w:rPr>
            </w:pPr>
          </w:p>
        </w:tc>
        <w:tc>
          <w:tcPr>
            <w:tcW w:w="1290" w:type="dxa"/>
            <w:tcBorders>
              <w:top w:val="outset" w:sz="6" w:space="0" w:color="auto"/>
              <w:left w:val="outset" w:sz="6" w:space="0" w:color="auto"/>
              <w:bottom w:val="outset" w:sz="6" w:space="0" w:color="auto"/>
              <w:right w:val="outset" w:sz="6" w:space="0" w:color="auto"/>
            </w:tcBorders>
            <w:shd w:val="clear" w:color="auto" w:fill="FFFFFF"/>
          </w:tcPr>
          <w:p w14:paraId="0E66BC7B" w14:textId="77777777" w:rsidR="00AD5788" w:rsidRPr="00AD5788" w:rsidRDefault="00AD5788" w:rsidP="00AD5788">
            <w:pPr>
              <w:spacing w:after="150" w:line="240" w:lineRule="auto"/>
              <w:rPr>
                <w:rFonts w:eastAsia="Times New Roman" w:cstheme="minorHAnsi"/>
                <w:sz w:val="21"/>
                <w:szCs w:val="21"/>
              </w:rPr>
            </w:pPr>
          </w:p>
        </w:tc>
        <w:tc>
          <w:tcPr>
            <w:tcW w:w="5475" w:type="dxa"/>
            <w:tcBorders>
              <w:top w:val="outset" w:sz="6" w:space="0" w:color="auto"/>
              <w:left w:val="outset" w:sz="6" w:space="0" w:color="auto"/>
              <w:bottom w:val="outset" w:sz="6" w:space="0" w:color="auto"/>
              <w:right w:val="outset" w:sz="6" w:space="0" w:color="auto"/>
            </w:tcBorders>
            <w:shd w:val="clear" w:color="auto" w:fill="FFFFFF"/>
          </w:tcPr>
          <w:p w14:paraId="165980BF" w14:textId="77777777" w:rsidR="00AD5788" w:rsidRPr="00AD5788" w:rsidRDefault="00AD5788" w:rsidP="00AD5788">
            <w:pPr>
              <w:spacing w:after="150" w:line="240" w:lineRule="auto"/>
              <w:rPr>
                <w:rFonts w:eastAsia="Times New Roman" w:cstheme="minorHAnsi"/>
                <w:sz w:val="21"/>
                <w:szCs w:val="21"/>
              </w:rPr>
            </w:pPr>
          </w:p>
        </w:tc>
      </w:tr>
    </w:tbl>
    <w:p w14:paraId="3A2DE4F3" w14:textId="77777777" w:rsidR="00AD5788" w:rsidRPr="00AD5788" w:rsidRDefault="00AD5788" w:rsidP="00AD5788">
      <w:pPr>
        <w:spacing w:after="0" w:line="240" w:lineRule="auto"/>
        <w:rPr>
          <w:rFonts w:eastAsia="Times New Roman" w:cstheme="minorHAnsi"/>
          <w:sz w:val="24"/>
          <w:szCs w:val="24"/>
        </w:rPr>
      </w:pPr>
      <w:r w:rsidRPr="00AD5788">
        <w:rPr>
          <w:rFonts w:eastAsia="Times New Roman" w:cstheme="minorHAnsi"/>
          <w:sz w:val="21"/>
          <w:szCs w:val="21"/>
        </w:rPr>
        <w:br/>
      </w:r>
    </w:p>
    <w:p w14:paraId="0DB51CB1" w14:textId="41D0ADEB" w:rsidR="00AD5788" w:rsidRPr="00AD5788" w:rsidRDefault="00AD5788" w:rsidP="00AD5788">
      <w:pPr>
        <w:shd w:val="clear" w:color="auto" w:fill="FFFFFF"/>
        <w:spacing w:after="150" w:line="240" w:lineRule="auto"/>
        <w:rPr>
          <w:rFonts w:eastAsia="Times New Roman" w:cstheme="minorHAnsi"/>
          <w:sz w:val="21"/>
          <w:szCs w:val="21"/>
        </w:rPr>
      </w:pPr>
      <w:r w:rsidRPr="00AD5788">
        <w:rPr>
          <w:rFonts w:eastAsia="Times New Roman" w:cstheme="minorHAnsi"/>
          <w:sz w:val="21"/>
          <w:szCs w:val="21"/>
        </w:rPr>
        <w:t xml:space="preserve">The following </w:t>
      </w:r>
      <w:r w:rsidR="00766917" w:rsidRPr="00AD5788">
        <w:rPr>
          <w:rFonts w:eastAsia="Times New Roman" w:cstheme="minorHAnsi"/>
          <w:sz w:val="21"/>
          <w:szCs w:val="21"/>
        </w:rPr>
        <w:t>faculty, presenters and planning committee members</w:t>
      </w:r>
      <w:r w:rsidR="00766917">
        <w:rPr>
          <w:rFonts w:eastAsia="Times New Roman" w:cstheme="minorHAnsi"/>
          <w:sz w:val="21"/>
          <w:szCs w:val="21"/>
        </w:rPr>
        <w:t xml:space="preserve"> </w:t>
      </w:r>
      <w:r w:rsidRPr="00AD5788">
        <w:rPr>
          <w:rFonts w:eastAsia="Times New Roman" w:cstheme="minorHAnsi"/>
          <w:sz w:val="21"/>
          <w:szCs w:val="21"/>
        </w:rPr>
        <w:t>ha</w:t>
      </w:r>
      <w:r w:rsidR="00766917">
        <w:rPr>
          <w:rFonts w:eastAsia="Times New Roman" w:cstheme="minorHAnsi"/>
          <w:sz w:val="21"/>
          <w:szCs w:val="21"/>
        </w:rPr>
        <w:t>ve</w:t>
      </w:r>
      <w:r w:rsidRPr="00AD5788">
        <w:rPr>
          <w:rFonts w:eastAsia="Times New Roman" w:cstheme="minorHAnsi"/>
          <w:sz w:val="21"/>
          <w:szCs w:val="21"/>
        </w:rPr>
        <w:t xml:space="preserve"> indicated that they </w:t>
      </w:r>
      <w:r w:rsidRPr="00AD5788">
        <w:rPr>
          <w:rFonts w:eastAsia="Times New Roman" w:cstheme="minorHAnsi"/>
          <w:sz w:val="21"/>
          <w:szCs w:val="21"/>
          <w:u w:val="single"/>
        </w:rPr>
        <w:t xml:space="preserve">have a </w:t>
      </w:r>
      <w:r w:rsidR="00766917">
        <w:rPr>
          <w:rFonts w:eastAsia="Times New Roman" w:cstheme="minorHAnsi"/>
          <w:sz w:val="21"/>
          <w:szCs w:val="21"/>
          <w:u w:val="single"/>
        </w:rPr>
        <w:t xml:space="preserve">relevant </w:t>
      </w:r>
      <w:r w:rsidRPr="00AD5788">
        <w:rPr>
          <w:rFonts w:eastAsia="Times New Roman" w:cstheme="minorHAnsi"/>
          <w:sz w:val="21"/>
          <w:szCs w:val="21"/>
          <w:u w:val="single"/>
        </w:rPr>
        <w:t>relationship(s)</w:t>
      </w:r>
      <w:r w:rsidRPr="00AD5788">
        <w:rPr>
          <w:rFonts w:eastAsia="Times New Roman" w:cstheme="minorHAnsi"/>
          <w:sz w:val="21"/>
          <w:szCs w:val="21"/>
        </w:rPr>
        <w:t xml:space="preserve"> that could be perceived as a potential conflict of interest</w:t>
      </w:r>
      <w:r w:rsidR="00766917">
        <w:rPr>
          <w:rFonts w:eastAsia="Times New Roman" w:cstheme="minorHAnsi"/>
          <w:sz w:val="21"/>
          <w:szCs w:val="21"/>
        </w:rPr>
        <w:t xml:space="preserve"> and </w:t>
      </w:r>
      <w:proofErr w:type="gramStart"/>
      <w:r w:rsidR="00766917">
        <w:rPr>
          <w:rFonts w:eastAsia="Times New Roman" w:cstheme="minorHAnsi"/>
          <w:sz w:val="21"/>
          <w:szCs w:val="21"/>
        </w:rPr>
        <w:t>all of</w:t>
      </w:r>
      <w:proofErr w:type="gramEnd"/>
      <w:r w:rsidR="00766917">
        <w:rPr>
          <w:rFonts w:eastAsia="Times New Roman" w:cstheme="minorHAnsi"/>
          <w:sz w:val="21"/>
          <w:szCs w:val="21"/>
        </w:rPr>
        <w:t xml:space="preserve"> the relevant financial relationships listed for these individuals have been mitigated</w:t>
      </w:r>
      <w:r w:rsidRPr="00AD5788">
        <w:rPr>
          <w:rFonts w:eastAsia="Times New Roman" w:cstheme="minorHAnsi"/>
          <w:sz w:val="21"/>
          <w:szCs w:val="21"/>
        </w:rPr>
        <w:t>:</w:t>
      </w:r>
    </w:p>
    <w:tbl>
      <w:tblPr>
        <w:tblW w:w="99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40"/>
        <w:gridCol w:w="1260"/>
        <w:gridCol w:w="5490"/>
      </w:tblGrid>
      <w:tr w:rsidR="00AD5788" w:rsidRPr="00AD5788" w14:paraId="197B70D2" w14:textId="77777777" w:rsidTr="00AD5788">
        <w:tc>
          <w:tcPr>
            <w:tcW w:w="3240" w:type="dxa"/>
            <w:tcBorders>
              <w:top w:val="outset" w:sz="6" w:space="0" w:color="auto"/>
              <w:left w:val="outset" w:sz="6" w:space="0" w:color="auto"/>
              <w:bottom w:val="outset" w:sz="6" w:space="0" w:color="auto"/>
              <w:right w:val="outset" w:sz="6" w:space="0" w:color="auto"/>
            </w:tcBorders>
            <w:shd w:val="clear" w:color="auto" w:fill="FFFFFF"/>
            <w:hideMark/>
          </w:tcPr>
          <w:p w14:paraId="781A77AE" w14:textId="77777777" w:rsidR="00AD5788" w:rsidRPr="00AD5788" w:rsidRDefault="00AD5788" w:rsidP="00AD5788">
            <w:pPr>
              <w:spacing w:after="150" w:line="240" w:lineRule="auto"/>
              <w:rPr>
                <w:rFonts w:eastAsia="Times New Roman" w:cstheme="minorHAnsi"/>
                <w:sz w:val="21"/>
                <w:szCs w:val="21"/>
              </w:rPr>
            </w:pPr>
            <w:r w:rsidRPr="00AD5788">
              <w:rPr>
                <w:rFonts w:eastAsia="Times New Roman" w:cstheme="minorHAnsi"/>
                <w:b/>
                <w:bCs/>
                <w:i/>
                <w:iCs/>
                <w:sz w:val="21"/>
                <w:szCs w:val="21"/>
              </w:rPr>
              <w:t>Name of Faculty or Presenter</w:t>
            </w:r>
          </w:p>
        </w:tc>
        <w:tc>
          <w:tcPr>
            <w:tcW w:w="1260" w:type="dxa"/>
            <w:tcBorders>
              <w:top w:val="outset" w:sz="6" w:space="0" w:color="auto"/>
              <w:left w:val="outset" w:sz="6" w:space="0" w:color="auto"/>
              <w:bottom w:val="outset" w:sz="6" w:space="0" w:color="auto"/>
              <w:right w:val="outset" w:sz="6" w:space="0" w:color="auto"/>
            </w:tcBorders>
            <w:shd w:val="clear" w:color="auto" w:fill="FFFFFF"/>
            <w:hideMark/>
          </w:tcPr>
          <w:p w14:paraId="2A6E560F" w14:textId="77777777" w:rsidR="00AD5788" w:rsidRPr="00AD5788" w:rsidRDefault="00AD5788" w:rsidP="00AD5788">
            <w:pPr>
              <w:spacing w:after="150" w:line="240" w:lineRule="auto"/>
              <w:rPr>
                <w:rFonts w:eastAsia="Times New Roman" w:cstheme="minorHAnsi"/>
                <w:sz w:val="21"/>
                <w:szCs w:val="21"/>
              </w:rPr>
            </w:pPr>
            <w:r w:rsidRPr="00AD5788">
              <w:rPr>
                <w:rFonts w:eastAsia="Times New Roman" w:cstheme="minorHAnsi"/>
                <w:b/>
                <w:bCs/>
                <w:i/>
                <w:iCs/>
                <w:sz w:val="21"/>
                <w:szCs w:val="21"/>
              </w:rPr>
              <w:t>Role(s)</w:t>
            </w:r>
          </w:p>
        </w:tc>
        <w:tc>
          <w:tcPr>
            <w:tcW w:w="5490" w:type="dxa"/>
            <w:tcBorders>
              <w:top w:val="outset" w:sz="6" w:space="0" w:color="auto"/>
              <w:left w:val="outset" w:sz="6" w:space="0" w:color="auto"/>
              <w:bottom w:val="outset" w:sz="6" w:space="0" w:color="auto"/>
              <w:right w:val="outset" w:sz="6" w:space="0" w:color="auto"/>
            </w:tcBorders>
            <w:shd w:val="clear" w:color="auto" w:fill="FFFFFF"/>
            <w:hideMark/>
          </w:tcPr>
          <w:p w14:paraId="65E83D10" w14:textId="77777777" w:rsidR="00AD5788" w:rsidRPr="00AD5788" w:rsidRDefault="00AD5788" w:rsidP="00AD5788">
            <w:pPr>
              <w:spacing w:after="150" w:line="240" w:lineRule="auto"/>
              <w:rPr>
                <w:rFonts w:eastAsia="Times New Roman" w:cstheme="minorHAnsi"/>
                <w:sz w:val="21"/>
                <w:szCs w:val="21"/>
              </w:rPr>
            </w:pPr>
            <w:r w:rsidRPr="00AD5788">
              <w:rPr>
                <w:rFonts w:eastAsia="Times New Roman" w:cstheme="minorHAnsi"/>
                <w:b/>
                <w:bCs/>
                <w:i/>
                <w:iCs/>
                <w:sz w:val="21"/>
                <w:szCs w:val="21"/>
              </w:rPr>
              <w:t>Reported Financial Relationship</w:t>
            </w:r>
          </w:p>
        </w:tc>
      </w:tr>
      <w:tr w:rsidR="00AD5788" w:rsidRPr="00AD5788" w14:paraId="780BA341" w14:textId="77777777" w:rsidTr="00AD5788">
        <w:tc>
          <w:tcPr>
            <w:tcW w:w="3240" w:type="dxa"/>
            <w:tcBorders>
              <w:top w:val="outset" w:sz="6" w:space="0" w:color="auto"/>
              <w:left w:val="outset" w:sz="6" w:space="0" w:color="auto"/>
              <w:bottom w:val="outset" w:sz="6" w:space="0" w:color="auto"/>
              <w:right w:val="outset" w:sz="6" w:space="0" w:color="auto"/>
            </w:tcBorders>
            <w:shd w:val="clear" w:color="auto" w:fill="FFFFFF"/>
          </w:tcPr>
          <w:p w14:paraId="2FA3F23F" w14:textId="77777777" w:rsidR="00AD5788" w:rsidRPr="00AD5788" w:rsidRDefault="00AD5788" w:rsidP="00AD5788">
            <w:pPr>
              <w:spacing w:after="150" w:line="240" w:lineRule="auto"/>
              <w:rPr>
                <w:rFonts w:eastAsia="Times New Roman" w:cstheme="minorHAnsi"/>
                <w:sz w:val="21"/>
                <w:szCs w:val="21"/>
              </w:rPr>
            </w:pPr>
          </w:p>
        </w:tc>
        <w:tc>
          <w:tcPr>
            <w:tcW w:w="1260" w:type="dxa"/>
            <w:tcBorders>
              <w:top w:val="outset" w:sz="6" w:space="0" w:color="auto"/>
              <w:left w:val="outset" w:sz="6" w:space="0" w:color="auto"/>
              <w:bottom w:val="outset" w:sz="6" w:space="0" w:color="auto"/>
              <w:right w:val="outset" w:sz="6" w:space="0" w:color="auto"/>
            </w:tcBorders>
            <w:shd w:val="clear" w:color="auto" w:fill="FFFFFF"/>
          </w:tcPr>
          <w:p w14:paraId="3F911914" w14:textId="77777777" w:rsidR="00AD5788" w:rsidRPr="00AD5788" w:rsidRDefault="00AD5788" w:rsidP="00AD5788">
            <w:pPr>
              <w:spacing w:after="150" w:line="240" w:lineRule="auto"/>
              <w:rPr>
                <w:rFonts w:eastAsia="Times New Roman" w:cstheme="minorHAnsi"/>
                <w:sz w:val="21"/>
                <w:szCs w:val="21"/>
              </w:rPr>
            </w:pPr>
          </w:p>
        </w:tc>
        <w:tc>
          <w:tcPr>
            <w:tcW w:w="5490" w:type="dxa"/>
            <w:tcBorders>
              <w:top w:val="outset" w:sz="6" w:space="0" w:color="auto"/>
              <w:left w:val="outset" w:sz="6" w:space="0" w:color="auto"/>
              <w:bottom w:val="outset" w:sz="6" w:space="0" w:color="auto"/>
              <w:right w:val="outset" w:sz="6" w:space="0" w:color="auto"/>
            </w:tcBorders>
            <w:shd w:val="clear" w:color="auto" w:fill="FFFFFF"/>
          </w:tcPr>
          <w:p w14:paraId="3C7BE4F7" w14:textId="77777777" w:rsidR="00AD5788" w:rsidRPr="00AD5788" w:rsidRDefault="00AD5788" w:rsidP="00AD5788">
            <w:pPr>
              <w:spacing w:after="150" w:line="240" w:lineRule="auto"/>
              <w:rPr>
                <w:rFonts w:eastAsia="Times New Roman" w:cstheme="minorHAnsi"/>
                <w:sz w:val="21"/>
                <w:szCs w:val="21"/>
              </w:rPr>
            </w:pPr>
          </w:p>
        </w:tc>
      </w:tr>
    </w:tbl>
    <w:p w14:paraId="7182F869" w14:textId="77777777" w:rsidR="00AD5788" w:rsidRPr="00AD5788" w:rsidRDefault="00AD5788" w:rsidP="00AD5788">
      <w:pPr>
        <w:spacing w:after="0" w:line="240" w:lineRule="auto"/>
        <w:rPr>
          <w:rFonts w:eastAsia="Times New Roman" w:cstheme="minorHAnsi"/>
          <w:sz w:val="24"/>
          <w:szCs w:val="24"/>
        </w:rPr>
      </w:pPr>
      <w:r w:rsidRPr="00AD5788">
        <w:rPr>
          <w:rFonts w:eastAsia="Times New Roman" w:cstheme="minorHAnsi"/>
          <w:sz w:val="21"/>
          <w:szCs w:val="21"/>
        </w:rPr>
        <w:br/>
      </w:r>
    </w:p>
    <w:p w14:paraId="4880C177" w14:textId="77777777" w:rsidR="00AD5788" w:rsidRPr="00AD5788" w:rsidRDefault="00AD5788" w:rsidP="00AD5788">
      <w:pPr>
        <w:shd w:val="clear" w:color="auto" w:fill="FFFFFF"/>
        <w:spacing w:after="150" w:line="240" w:lineRule="auto"/>
        <w:rPr>
          <w:rFonts w:eastAsia="Times New Roman" w:cstheme="minorHAnsi"/>
          <w:sz w:val="21"/>
          <w:szCs w:val="21"/>
        </w:rPr>
      </w:pPr>
      <w:r w:rsidRPr="00AD5788">
        <w:rPr>
          <w:rFonts w:eastAsia="Times New Roman" w:cstheme="minorHAnsi"/>
          <w:b/>
          <w:bCs/>
          <w:sz w:val="21"/>
          <w:szCs w:val="21"/>
        </w:rPr>
        <w:t>Disclaimer:</w:t>
      </w:r>
      <w:r w:rsidRPr="00AD5788">
        <w:rPr>
          <w:rFonts w:eastAsia="Times New Roman" w:cstheme="minorHAnsi"/>
          <w:b/>
          <w:bCs/>
          <w:sz w:val="21"/>
          <w:szCs w:val="21"/>
        </w:rPr>
        <w:br/>
      </w:r>
      <w:r w:rsidRPr="00AD5788">
        <w:rPr>
          <w:rFonts w:eastAsia="Times New Roman" w:cstheme="minorHAnsi"/>
          <w:sz w:val="21"/>
          <w:szCs w:val="21"/>
        </w:rPr>
        <w:t>The information in this educational activity is provided for general medical education purposes only and is not meant to substitute for the independent medical judgment of a physician relative to diagnostic and treatment options of a specific patient's medical condition. The viewpoints expressed in this CME activity are those of the authors/faculty. They do not represent an endorsement by the AOA.  In no event will the AOA be liable for any decision made or action taken in reliance upon the information provided through this CME activity.</w:t>
      </w:r>
    </w:p>
    <w:p w14:paraId="0E8ACCAC" w14:textId="77777777" w:rsidR="00AD5788" w:rsidRPr="00AD5788" w:rsidRDefault="00AD5788" w:rsidP="00AD5788">
      <w:pPr>
        <w:shd w:val="clear" w:color="auto" w:fill="FFFFFF"/>
        <w:spacing w:after="150" w:line="240" w:lineRule="auto"/>
        <w:rPr>
          <w:rFonts w:eastAsia="Times New Roman" w:cstheme="minorHAnsi"/>
          <w:sz w:val="21"/>
          <w:szCs w:val="21"/>
        </w:rPr>
      </w:pPr>
      <w:r w:rsidRPr="00AD5788">
        <w:rPr>
          <w:rFonts w:eastAsia="Times New Roman" w:cstheme="minorHAnsi"/>
          <w:b/>
          <w:bCs/>
          <w:sz w:val="21"/>
          <w:szCs w:val="21"/>
        </w:rPr>
        <w:t>Commercial Support:</w:t>
      </w:r>
      <w:r w:rsidRPr="00AD5788">
        <w:rPr>
          <w:rFonts w:eastAsia="Times New Roman" w:cstheme="minorHAnsi"/>
          <w:b/>
          <w:bCs/>
          <w:sz w:val="21"/>
          <w:szCs w:val="21"/>
        </w:rPr>
        <w:br/>
      </w:r>
      <w:r w:rsidRPr="00AD5788">
        <w:rPr>
          <w:rFonts w:eastAsia="Times New Roman" w:cstheme="minorHAnsi"/>
          <w:sz w:val="21"/>
          <w:szCs w:val="21"/>
        </w:rPr>
        <w:t xml:space="preserve">The AOA and </w:t>
      </w:r>
      <w:r w:rsidRPr="00AD5788">
        <w:rPr>
          <w:rFonts w:eastAsia="Times New Roman" w:cstheme="minorHAnsi"/>
          <w:sz w:val="21"/>
          <w:szCs w:val="21"/>
          <w:highlight w:val="yellow"/>
        </w:rPr>
        <w:t>&lt;joint provider&gt;</w:t>
      </w:r>
      <w:r w:rsidRPr="00AD5788">
        <w:rPr>
          <w:rFonts w:eastAsia="Times New Roman" w:cstheme="minorHAnsi"/>
          <w:sz w:val="21"/>
          <w:szCs w:val="21"/>
        </w:rPr>
        <w:t xml:space="preserve"> acknowledge </w:t>
      </w:r>
      <w:r>
        <w:rPr>
          <w:rFonts w:eastAsia="Times New Roman" w:cstheme="minorHAnsi"/>
          <w:sz w:val="21"/>
          <w:szCs w:val="21"/>
        </w:rPr>
        <w:t xml:space="preserve">that support for this activity was provided by </w:t>
      </w:r>
      <w:r w:rsidRPr="00AD5788">
        <w:rPr>
          <w:rFonts w:eastAsia="Times New Roman" w:cstheme="minorHAnsi"/>
          <w:sz w:val="21"/>
          <w:szCs w:val="21"/>
          <w:highlight w:val="yellow"/>
        </w:rPr>
        <w:t>&lt;name of Commercial Supporter&gt;</w:t>
      </w:r>
      <w:r>
        <w:rPr>
          <w:rFonts w:eastAsia="Times New Roman" w:cstheme="minorHAnsi"/>
          <w:sz w:val="21"/>
          <w:szCs w:val="21"/>
        </w:rPr>
        <w:t xml:space="preserve"> by an independent </w:t>
      </w:r>
      <w:r w:rsidRPr="00AD5788">
        <w:rPr>
          <w:rFonts w:eastAsia="Times New Roman" w:cstheme="minorHAnsi"/>
          <w:sz w:val="21"/>
          <w:szCs w:val="21"/>
        </w:rPr>
        <w:t>educational grant.</w:t>
      </w:r>
    </w:p>
    <w:p w14:paraId="7DDA9F2C" w14:textId="77777777" w:rsidR="00AD5788" w:rsidRPr="00AD5788" w:rsidRDefault="00AD5788" w:rsidP="00AD5788">
      <w:pPr>
        <w:rPr>
          <w:b/>
        </w:rPr>
      </w:pPr>
    </w:p>
    <w:sectPr w:rsidR="00AD5788" w:rsidRPr="00AD5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EAF"/>
    <w:multiLevelType w:val="multilevel"/>
    <w:tmpl w:val="6AE0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9B1634"/>
    <w:multiLevelType w:val="multilevel"/>
    <w:tmpl w:val="1232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1NjI3MrAwNzY0NTVV0lEKTi0uzszPAykwqgUAMb5Y0iwAAAA="/>
  </w:docVars>
  <w:rsids>
    <w:rsidRoot w:val="00AD5788"/>
    <w:rsid w:val="00034036"/>
    <w:rsid w:val="002B7802"/>
    <w:rsid w:val="00766917"/>
    <w:rsid w:val="009D238E"/>
    <w:rsid w:val="00AD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C9A6"/>
  <w15:docId w15:val="{3C43DFA6-52FE-4418-AB73-1863637D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57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5788"/>
    <w:rPr>
      <w:b/>
      <w:bCs/>
    </w:rPr>
  </w:style>
  <w:style w:type="character" w:styleId="Hyperlink">
    <w:name w:val="Hyperlink"/>
    <w:basedOn w:val="DefaultParagraphFont"/>
    <w:uiPriority w:val="99"/>
    <w:semiHidden/>
    <w:unhideWhenUsed/>
    <w:rsid w:val="00AD5788"/>
    <w:rPr>
      <w:color w:val="0000FF"/>
      <w:u w:val="single"/>
    </w:rPr>
  </w:style>
  <w:style w:type="paragraph" w:styleId="BalloonText">
    <w:name w:val="Balloon Text"/>
    <w:basedOn w:val="Normal"/>
    <w:link w:val="BalloonTextChar"/>
    <w:uiPriority w:val="99"/>
    <w:semiHidden/>
    <w:unhideWhenUsed/>
    <w:rsid w:val="00034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0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222696">
      <w:bodyDiv w:val="1"/>
      <w:marLeft w:val="0"/>
      <w:marRight w:val="0"/>
      <w:marTop w:val="0"/>
      <w:marBottom w:val="0"/>
      <w:divBdr>
        <w:top w:val="none" w:sz="0" w:space="0" w:color="auto"/>
        <w:left w:val="none" w:sz="0" w:space="0" w:color="auto"/>
        <w:bottom w:val="none" w:sz="0" w:space="0" w:color="auto"/>
        <w:right w:val="none" w:sz="0" w:space="0" w:color="auto"/>
      </w:divBdr>
    </w:div>
    <w:div w:id="1639457973">
      <w:bodyDiv w:val="1"/>
      <w:marLeft w:val="0"/>
      <w:marRight w:val="0"/>
      <w:marTop w:val="0"/>
      <w:marBottom w:val="0"/>
      <w:divBdr>
        <w:top w:val="none" w:sz="0" w:space="0" w:color="auto"/>
        <w:left w:val="none" w:sz="0" w:space="0" w:color="auto"/>
        <w:bottom w:val="none" w:sz="0" w:space="0" w:color="auto"/>
        <w:right w:val="none" w:sz="0" w:space="0" w:color="auto"/>
      </w:divBdr>
    </w:div>
    <w:div w:id="210128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Alanna Kaiser</dc:creator>
  <cp:lastModifiedBy>Kaiser, Alanna</cp:lastModifiedBy>
  <cp:revision>3</cp:revision>
  <dcterms:created xsi:type="dcterms:W3CDTF">2021-01-22T18:30:00Z</dcterms:created>
  <dcterms:modified xsi:type="dcterms:W3CDTF">2021-01-22T18:31:00Z</dcterms:modified>
</cp:coreProperties>
</file>